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E0" w:rsidRDefault="0012569B" w:rsidP="0012569B">
      <w:pPr>
        <w:pStyle w:val="a3"/>
        <w:spacing w:line="343" w:lineRule="auto"/>
        <w:ind w:left="587" w:right="273" w:firstLine="8003"/>
      </w:pPr>
      <w:r>
        <w:rPr>
          <w:b w:val="0"/>
        </w:rPr>
        <w:t>附件三</w:t>
      </w:r>
      <w:r>
        <w:t>高雄區農業改良場科技計畫研究成果</w:t>
      </w:r>
      <w:r>
        <w:t>技術移轉意願書</w:t>
      </w:r>
      <w:bookmarkStart w:id="0" w:name="_GoBack"/>
      <w:bookmarkEnd w:id="0"/>
    </w:p>
    <w:p w:rsidR="00FE66E0" w:rsidRDefault="00FE66E0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58"/>
      </w:tblGrid>
      <w:tr w:rsidR="00FE66E0">
        <w:trPr>
          <w:trHeight w:val="722"/>
        </w:trPr>
        <w:tc>
          <w:tcPr>
            <w:tcW w:w="2268" w:type="dxa"/>
          </w:tcPr>
          <w:p w:rsidR="00FE66E0" w:rsidRDefault="0012569B">
            <w:pPr>
              <w:pStyle w:val="TableParagraph"/>
              <w:spacing w:before="236"/>
              <w:ind w:left="573"/>
              <w:rPr>
                <w:sz w:val="28"/>
              </w:rPr>
            </w:pPr>
            <w:r>
              <w:rPr>
                <w:sz w:val="28"/>
              </w:rPr>
              <w:t>廠商名稱</w:t>
            </w:r>
          </w:p>
        </w:tc>
        <w:tc>
          <w:tcPr>
            <w:tcW w:w="7458" w:type="dxa"/>
          </w:tcPr>
          <w:p w:rsidR="00FE66E0" w:rsidRDefault="00FE66E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E66E0">
        <w:trPr>
          <w:trHeight w:val="1038"/>
        </w:trPr>
        <w:tc>
          <w:tcPr>
            <w:tcW w:w="2268" w:type="dxa"/>
          </w:tcPr>
          <w:p w:rsidR="00FE66E0" w:rsidRDefault="00FE66E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E66E0" w:rsidRDefault="0012569B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移轉技術名稱</w:t>
            </w:r>
          </w:p>
        </w:tc>
        <w:tc>
          <w:tcPr>
            <w:tcW w:w="7458" w:type="dxa"/>
          </w:tcPr>
          <w:p w:rsidR="00FE66E0" w:rsidRDefault="0012569B">
            <w:pPr>
              <w:pStyle w:val="TableParagraph"/>
              <w:spacing w:before="6" w:line="520" w:lineRule="atLeast"/>
              <w:ind w:left="108" w:right="37"/>
              <w:rPr>
                <w:sz w:val="28"/>
              </w:rPr>
            </w:pPr>
            <w:r>
              <w:rPr>
                <w:sz w:val="28"/>
              </w:rPr>
              <w:t>洋香瓜、東方甜瓜、小果番茄及大果番茄作物離地栽培之</w:t>
            </w:r>
            <w:proofErr w:type="gramStart"/>
            <w:r>
              <w:rPr>
                <w:sz w:val="28"/>
              </w:rPr>
              <w:t>肥料套組</w:t>
            </w:r>
            <w:proofErr w:type="gramEnd"/>
          </w:p>
        </w:tc>
      </w:tr>
      <w:tr w:rsidR="00FE66E0">
        <w:trPr>
          <w:trHeight w:val="1049"/>
        </w:trPr>
        <w:tc>
          <w:tcPr>
            <w:tcW w:w="2268" w:type="dxa"/>
          </w:tcPr>
          <w:p w:rsidR="00FE66E0" w:rsidRDefault="0012569B">
            <w:pPr>
              <w:pStyle w:val="TableParagraph"/>
              <w:spacing w:before="9" w:line="520" w:lineRule="atLeast"/>
              <w:ind w:left="854" w:right="139" w:hanging="702"/>
              <w:rPr>
                <w:sz w:val="28"/>
              </w:rPr>
            </w:pPr>
            <w:r>
              <w:rPr>
                <w:sz w:val="28"/>
              </w:rPr>
              <w:t>科技計畫名稱及編號</w:t>
            </w:r>
          </w:p>
        </w:tc>
        <w:tc>
          <w:tcPr>
            <w:tcW w:w="7458" w:type="dxa"/>
          </w:tcPr>
          <w:p w:rsidR="00FE66E0" w:rsidRDefault="0012569B">
            <w:pPr>
              <w:pStyle w:val="TableParagraph"/>
              <w:spacing w:before="138"/>
              <w:ind w:left="89" w:right="1439"/>
              <w:jc w:val="center"/>
              <w:rPr>
                <w:sz w:val="28"/>
              </w:rPr>
            </w:pPr>
            <w:r>
              <w:rPr>
                <w:sz w:val="28"/>
              </w:rPr>
              <w:t>瓜類</w:t>
            </w:r>
            <w:proofErr w:type="gramStart"/>
            <w:r>
              <w:rPr>
                <w:sz w:val="28"/>
              </w:rPr>
              <w:t>及茄科</w:t>
            </w:r>
            <w:proofErr w:type="gramEnd"/>
            <w:r>
              <w:rPr>
                <w:sz w:val="28"/>
              </w:rPr>
              <w:t>作物離地栽培技術之開發及田間運用</w:t>
            </w:r>
          </w:p>
          <w:p w:rsidR="00FE66E0" w:rsidRDefault="0012569B">
            <w:pPr>
              <w:pStyle w:val="TableParagraph"/>
              <w:spacing w:before="127" w:line="373" w:lineRule="exact"/>
              <w:ind w:left="89" w:right="1341"/>
              <w:jc w:val="center"/>
              <w:rPr>
                <w:rFonts w:ascii="Arial" w:eastAsia="Arial"/>
                <w:sz w:val="28"/>
              </w:rPr>
            </w:pPr>
            <w:r>
              <w:rPr>
                <w:rFonts w:ascii="Arial" w:eastAsia="Arial"/>
                <w:sz w:val="28"/>
              </w:rPr>
              <w:t>(</w:t>
            </w:r>
            <w:r>
              <w:rPr>
                <w:rFonts w:ascii="Times New Roman" w:eastAsia="Times New Roman"/>
                <w:sz w:val="28"/>
              </w:rPr>
              <w:t xml:space="preserve">106 </w:t>
            </w:r>
            <w:r>
              <w:rPr>
                <w:sz w:val="28"/>
              </w:rPr>
              <w:t>農科</w:t>
            </w:r>
            <w:r>
              <w:rPr>
                <w:rFonts w:ascii="Times New Roman" w:eastAsia="Times New Roman"/>
                <w:sz w:val="28"/>
              </w:rPr>
              <w:t>-1.3.3-</w:t>
            </w:r>
            <w:r>
              <w:rPr>
                <w:sz w:val="28"/>
              </w:rPr>
              <w:t>高</w:t>
            </w:r>
            <w:r>
              <w:rPr>
                <w:rFonts w:ascii="Times New Roman" w:eastAsia="Times New Roman"/>
                <w:sz w:val="28"/>
              </w:rPr>
              <w:t xml:space="preserve">-K3 </w:t>
            </w:r>
            <w:r>
              <w:rPr>
                <w:sz w:val="28"/>
              </w:rPr>
              <w:t>及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 xml:space="preserve">107 </w:t>
            </w:r>
            <w:r>
              <w:rPr>
                <w:sz w:val="28"/>
              </w:rPr>
              <w:t>農科</w:t>
            </w:r>
            <w:r>
              <w:rPr>
                <w:rFonts w:ascii="Times New Roman" w:eastAsia="Times New Roman"/>
                <w:sz w:val="28"/>
              </w:rPr>
              <w:t>-1.2.1-</w:t>
            </w:r>
            <w:r>
              <w:rPr>
                <w:sz w:val="28"/>
              </w:rPr>
              <w:t>高</w:t>
            </w:r>
            <w:r>
              <w:rPr>
                <w:rFonts w:ascii="Times New Roman" w:eastAsia="Times New Roman"/>
                <w:sz w:val="28"/>
              </w:rPr>
              <w:t>-KA</w:t>
            </w:r>
            <w:r>
              <w:rPr>
                <w:rFonts w:ascii="Arial" w:eastAsia="Arial"/>
                <w:sz w:val="28"/>
              </w:rPr>
              <w:t>)</w:t>
            </w:r>
          </w:p>
        </w:tc>
      </w:tr>
      <w:tr w:rsidR="00FE66E0">
        <w:trPr>
          <w:trHeight w:val="532"/>
        </w:trPr>
        <w:tc>
          <w:tcPr>
            <w:tcW w:w="2268" w:type="dxa"/>
          </w:tcPr>
          <w:p w:rsidR="00FE66E0" w:rsidRDefault="0012569B">
            <w:pPr>
              <w:pStyle w:val="TableParagraph"/>
              <w:spacing w:before="142" w:line="370" w:lineRule="exact"/>
              <w:ind w:left="434"/>
              <w:rPr>
                <w:sz w:val="28"/>
              </w:rPr>
            </w:pPr>
            <w:r>
              <w:rPr>
                <w:sz w:val="28"/>
              </w:rPr>
              <w:t>計畫主持人</w:t>
            </w:r>
          </w:p>
        </w:tc>
        <w:tc>
          <w:tcPr>
            <w:tcW w:w="7458" w:type="dxa"/>
          </w:tcPr>
          <w:p w:rsidR="00FE66E0" w:rsidRDefault="0012569B">
            <w:pPr>
              <w:pStyle w:val="TableParagraph"/>
              <w:spacing w:before="142" w:line="370" w:lineRule="exact"/>
              <w:ind w:left="108"/>
              <w:rPr>
                <w:sz w:val="28"/>
              </w:rPr>
            </w:pPr>
            <w:r>
              <w:rPr>
                <w:sz w:val="28"/>
              </w:rPr>
              <w:t>蘇博信</w:t>
            </w:r>
          </w:p>
        </w:tc>
      </w:tr>
      <w:tr w:rsidR="00FE66E0">
        <w:trPr>
          <w:trHeight w:val="2601"/>
        </w:trPr>
        <w:tc>
          <w:tcPr>
            <w:tcW w:w="2268" w:type="dxa"/>
          </w:tcPr>
          <w:p w:rsidR="00FE66E0" w:rsidRDefault="00FE66E0">
            <w:pPr>
              <w:pStyle w:val="TableParagraph"/>
              <w:rPr>
                <w:b/>
                <w:sz w:val="28"/>
              </w:rPr>
            </w:pPr>
          </w:p>
          <w:p w:rsidR="00FE66E0" w:rsidRDefault="00FE66E0">
            <w:pPr>
              <w:pStyle w:val="TableParagraph"/>
              <w:rPr>
                <w:b/>
                <w:sz w:val="28"/>
              </w:rPr>
            </w:pPr>
          </w:p>
          <w:p w:rsidR="00FE66E0" w:rsidRDefault="00FE66E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E66E0" w:rsidRDefault="0012569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擬利用技術內容</w:t>
            </w:r>
          </w:p>
        </w:tc>
        <w:tc>
          <w:tcPr>
            <w:tcW w:w="7458" w:type="dxa"/>
          </w:tcPr>
          <w:p w:rsidR="00FE66E0" w:rsidRDefault="0012569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5" w:line="319" w:lineRule="auto"/>
              <w:ind w:right="95"/>
              <w:rPr>
                <w:sz w:val="28"/>
              </w:rPr>
            </w:pPr>
            <w:r>
              <w:rPr>
                <w:spacing w:val="-13"/>
                <w:sz w:val="28"/>
              </w:rPr>
              <w:t>洋香瓜、東方甜瓜、小果番茄及大果番茄作物不同生長時</w:t>
            </w:r>
            <w:r>
              <w:rPr>
                <w:spacing w:val="-8"/>
                <w:sz w:val="28"/>
              </w:rPr>
              <w:t>期</w:t>
            </w:r>
            <w:proofErr w:type="gramStart"/>
            <w:r>
              <w:rPr>
                <w:spacing w:val="-8"/>
                <w:sz w:val="28"/>
              </w:rPr>
              <w:t>緩釋型</w:t>
            </w:r>
            <w:proofErr w:type="gramEnd"/>
            <w:r>
              <w:rPr>
                <w:spacing w:val="-8"/>
                <w:sz w:val="28"/>
              </w:rPr>
              <w:t>肥料選擇及施用量。</w:t>
            </w:r>
          </w:p>
          <w:p w:rsidR="00FE66E0" w:rsidRDefault="0012569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16" w:lineRule="auto"/>
              <w:ind w:right="95"/>
              <w:rPr>
                <w:sz w:val="28"/>
              </w:rPr>
            </w:pPr>
            <w:r>
              <w:rPr>
                <w:spacing w:val="-13"/>
                <w:sz w:val="28"/>
              </w:rPr>
              <w:t>洋香瓜、東方甜瓜、小果番茄及大果番茄作物不同生長階</w:t>
            </w:r>
            <w:r>
              <w:rPr>
                <w:spacing w:val="-8"/>
                <w:sz w:val="28"/>
              </w:rPr>
              <w:t>段養液配製及灌溉量。</w:t>
            </w:r>
          </w:p>
          <w:p w:rsidR="00FE66E0" w:rsidRDefault="0012569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6" w:line="36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洋香瓜、東方甜瓜、小果番茄及大果番茄作物生長指數。</w:t>
            </w:r>
          </w:p>
        </w:tc>
      </w:tr>
      <w:tr w:rsidR="00FE66E0">
        <w:trPr>
          <w:trHeight w:val="1679"/>
        </w:trPr>
        <w:tc>
          <w:tcPr>
            <w:tcW w:w="2268" w:type="dxa"/>
          </w:tcPr>
          <w:p w:rsidR="00FE66E0" w:rsidRDefault="00FE66E0">
            <w:pPr>
              <w:pStyle w:val="TableParagraph"/>
              <w:rPr>
                <w:b/>
                <w:sz w:val="28"/>
              </w:rPr>
            </w:pPr>
          </w:p>
          <w:p w:rsidR="00FE66E0" w:rsidRDefault="00FE66E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E66E0" w:rsidRDefault="001256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授權地區</w:t>
            </w:r>
          </w:p>
        </w:tc>
        <w:tc>
          <w:tcPr>
            <w:tcW w:w="7458" w:type="dxa"/>
          </w:tcPr>
          <w:p w:rsidR="00FE66E0" w:rsidRDefault="00FE66E0">
            <w:pPr>
              <w:pStyle w:val="TableParagraph"/>
              <w:rPr>
                <w:b/>
                <w:sz w:val="28"/>
              </w:rPr>
            </w:pPr>
          </w:p>
          <w:p w:rsidR="00FE66E0" w:rsidRDefault="00FE66E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E66E0" w:rsidRDefault="00125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我國管轄區域內</w:t>
            </w:r>
          </w:p>
        </w:tc>
      </w:tr>
      <w:tr w:rsidR="00FE66E0">
        <w:trPr>
          <w:trHeight w:val="2340"/>
        </w:trPr>
        <w:tc>
          <w:tcPr>
            <w:tcW w:w="2268" w:type="dxa"/>
          </w:tcPr>
          <w:p w:rsidR="00FE66E0" w:rsidRDefault="00FE66E0">
            <w:pPr>
              <w:pStyle w:val="TableParagraph"/>
              <w:rPr>
                <w:b/>
                <w:sz w:val="28"/>
              </w:rPr>
            </w:pPr>
          </w:p>
          <w:p w:rsidR="00FE66E0" w:rsidRDefault="00FE66E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E66E0" w:rsidRDefault="0012569B">
            <w:pPr>
              <w:pStyle w:val="TableParagraph"/>
              <w:spacing w:line="319" w:lineRule="auto"/>
              <w:ind w:left="107" w:right="81"/>
              <w:rPr>
                <w:sz w:val="28"/>
              </w:rPr>
            </w:pPr>
            <w:r>
              <w:rPr>
                <w:sz w:val="28"/>
              </w:rPr>
              <w:t>預期應用範圍及預期產品</w:t>
            </w:r>
          </w:p>
        </w:tc>
        <w:tc>
          <w:tcPr>
            <w:tcW w:w="7458" w:type="dxa"/>
          </w:tcPr>
          <w:p w:rsidR="00FE66E0" w:rsidRDefault="00FE66E0">
            <w:pPr>
              <w:pStyle w:val="TableParagraph"/>
              <w:spacing w:before="9"/>
              <w:rPr>
                <w:b/>
                <w:sz w:val="39"/>
              </w:rPr>
            </w:pPr>
          </w:p>
          <w:p w:rsidR="00FE66E0" w:rsidRDefault="0012569B">
            <w:pPr>
              <w:pStyle w:val="TableParagraph"/>
              <w:spacing w:line="319" w:lineRule="auto"/>
              <w:ind w:left="108" w:right="137"/>
              <w:jc w:val="both"/>
              <w:rPr>
                <w:sz w:val="28"/>
              </w:rPr>
            </w:pPr>
            <w:r>
              <w:rPr>
                <w:sz w:val="28"/>
              </w:rPr>
              <w:t>此</w:t>
            </w:r>
            <w:proofErr w:type="gramStart"/>
            <w:r>
              <w:rPr>
                <w:sz w:val="28"/>
              </w:rPr>
              <w:t>肥料套組可</w:t>
            </w:r>
            <w:proofErr w:type="gramEnd"/>
            <w:r>
              <w:rPr>
                <w:sz w:val="28"/>
              </w:rPr>
              <w:t>於不同生長時期補充必要、次要及微量元素，使洋香瓜、東方甜瓜、小果番茄及大果番茄植株生長勢較一致，穩定生產瓜類</w:t>
            </w:r>
            <w:proofErr w:type="gramStart"/>
            <w:r>
              <w:rPr>
                <w:sz w:val="28"/>
              </w:rPr>
              <w:t>及茄科</w:t>
            </w:r>
            <w:proofErr w:type="gramEnd"/>
            <w:r>
              <w:rPr>
                <w:sz w:val="28"/>
              </w:rPr>
              <w:t>果品</w:t>
            </w:r>
          </w:p>
        </w:tc>
      </w:tr>
    </w:tbl>
    <w:p w:rsidR="00FE66E0" w:rsidRDefault="00FE66E0">
      <w:pPr>
        <w:spacing w:before="7"/>
        <w:rPr>
          <w:b/>
          <w:sz w:val="44"/>
        </w:rPr>
      </w:pPr>
    </w:p>
    <w:p w:rsidR="00FE66E0" w:rsidRDefault="0012569B">
      <w:pPr>
        <w:tabs>
          <w:tab w:val="left" w:pos="5398"/>
        </w:tabs>
        <w:ind w:left="217"/>
        <w:rPr>
          <w:sz w:val="28"/>
        </w:rPr>
      </w:pPr>
      <w:r>
        <w:rPr>
          <w:sz w:val="28"/>
        </w:rPr>
        <w:t>申請人</w:t>
      </w:r>
      <w:r>
        <w:rPr>
          <w:spacing w:val="-3"/>
          <w:sz w:val="28"/>
        </w:rPr>
        <w:t>（</w:t>
      </w:r>
      <w:r>
        <w:rPr>
          <w:sz w:val="28"/>
        </w:rPr>
        <w:t>公司</w:t>
      </w:r>
      <w:r>
        <w:rPr>
          <w:spacing w:val="-3"/>
          <w:sz w:val="28"/>
        </w:rPr>
        <w:t>代表</w:t>
      </w:r>
      <w:r>
        <w:rPr>
          <w:sz w:val="28"/>
        </w:rPr>
        <w:t>人</w:t>
      </w:r>
      <w:r>
        <w:rPr>
          <w:spacing w:val="-140"/>
          <w:sz w:val="28"/>
        </w:rPr>
        <w:t>）</w:t>
      </w:r>
      <w:r>
        <w:rPr>
          <w:spacing w:val="-1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（簽章）</w:t>
      </w:r>
    </w:p>
    <w:p w:rsidR="00FE66E0" w:rsidRDefault="00FE66E0">
      <w:pPr>
        <w:rPr>
          <w:sz w:val="20"/>
        </w:rPr>
      </w:pPr>
    </w:p>
    <w:p w:rsidR="00FE66E0" w:rsidRDefault="00FE66E0">
      <w:pPr>
        <w:spacing w:before="2"/>
        <w:rPr>
          <w:sz w:val="20"/>
        </w:rPr>
      </w:pPr>
    </w:p>
    <w:p w:rsidR="00FE66E0" w:rsidRDefault="0012569B">
      <w:pPr>
        <w:tabs>
          <w:tab w:val="left" w:pos="2737"/>
          <w:tab w:val="left" w:pos="3998"/>
          <w:tab w:val="left" w:pos="5400"/>
        </w:tabs>
        <w:spacing w:before="45"/>
        <w:ind w:left="217"/>
        <w:rPr>
          <w:sz w:val="28"/>
        </w:rPr>
      </w:pPr>
      <w:r>
        <w:rPr>
          <w:sz w:val="28"/>
        </w:rPr>
        <w:t>申請日</w:t>
      </w:r>
      <w:r>
        <w:rPr>
          <w:spacing w:val="-3"/>
          <w:sz w:val="28"/>
        </w:rPr>
        <w:t>期</w:t>
      </w:r>
      <w:r>
        <w:rPr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月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日</w:t>
      </w:r>
    </w:p>
    <w:sectPr w:rsidR="00FE66E0">
      <w:type w:val="continuous"/>
      <w:pgSz w:w="11910" w:h="16840"/>
      <w:pgMar w:top="1220" w:right="11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7BB2"/>
    <w:multiLevelType w:val="hybridMultilevel"/>
    <w:tmpl w:val="4AD07B36"/>
    <w:lvl w:ilvl="0" w:tplc="2FE00B3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B24CA8E4">
      <w:numFmt w:val="bullet"/>
      <w:lvlText w:val="•"/>
      <w:lvlJc w:val="left"/>
      <w:pPr>
        <w:ind w:left="1158" w:hanging="361"/>
      </w:pPr>
      <w:rPr>
        <w:rFonts w:hint="default"/>
        <w:lang w:val="zh-TW" w:eastAsia="zh-TW" w:bidi="zh-TW"/>
      </w:rPr>
    </w:lvl>
    <w:lvl w:ilvl="2" w:tplc="CE3C7A8E">
      <w:numFmt w:val="bullet"/>
      <w:lvlText w:val="•"/>
      <w:lvlJc w:val="left"/>
      <w:pPr>
        <w:ind w:left="1857" w:hanging="361"/>
      </w:pPr>
      <w:rPr>
        <w:rFonts w:hint="default"/>
        <w:lang w:val="zh-TW" w:eastAsia="zh-TW" w:bidi="zh-TW"/>
      </w:rPr>
    </w:lvl>
    <w:lvl w:ilvl="3" w:tplc="2D74365E">
      <w:numFmt w:val="bullet"/>
      <w:lvlText w:val="•"/>
      <w:lvlJc w:val="left"/>
      <w:pPr>
        <w:ind w:left="2556" w:hanging="361"/>
      </w:pPr>
      <w:rPr>
        <w:rFonts w:hint="default"/>
        <w:lang w:val="zh-TW" w:eastAsia="zh-TW" w:bidi="zh-TW"/>
      </w:rPr>
    </w:lvl>
    <w:lvl w:ilvl="4" w:tplc="13748554">
      <w:numFmt w:val="bullet"/>
      <w:lvlText w:val="•"/>
      <w:lvlJc w:val="left"/>
      <w:pPr>
        <w:ind w:left="3255" w:hanging="361"/>
      </w:pPr>
      <w:rPr>
        <w:rFonts w:hint="default"/>
        <w:lang w:val="zh-TW" w:eastAsia="zh-TW" w:bidi="zh-TW"/>
      </w:rPr>
    </w:lvl>
    <w:lvl w:ilvl="5" w:tplc="79CCF5E2">
      <w:numFmt w:val="bullet"/>
      <w:lvlText w:val="•"/>
      <w:lvlJc w:val="left"/>
      <w:pPr>
        <w:ind w:left="3954" w:hanging="361"/>
      </w:pPr>
      <w:rPr>
        <w:rFonts w:hint="default"/>
        <w:lang w:val="zh-TW" w:eastAsia="zh-TW" w:bidi="zh-TW"/>
      </w:rPr>
    </w:lvl>
    <w:lvl w:ilvl="6" w:tplc="972CE7EA">
      <w:numFmt w:val="bullet"/>
      <w:lvlText w:val="•"/>
      <w:lvlJc w:val="left"/>
      <w:pPr>
        <w:ind w:left="4652" w:hanging="361"/>
      </w:pPr>
      <w:rPr>
        <w:rFonts w:hint="default"/>
        <w:lang w:val="zh-TW" w:eastAsia="zh-TW" w:bidi="zh-TW"/>
      </w:rPr>
    </w:lvl>
    <w:lvl w:ilvl="7" w:tplc="B1FCA8FC">
      <w:numFmt w:val="bullet"/>
      <w:lvlText w:val="•"/>
      <w:lvlJc w:val="left"/>
      <w:pPr>
        <w:ind w:left="5351" w:hanging="361"/>
      </w:pPr>
      <w:rPr>
        <w:rFonts w:hint="default"/>
        <w:lang w:val="zh-TW" w:eastAsia="zh-TW" w:bidi="zh-TW"/>
      </w:rPr>
    </w:lvl>
    <w:lvl w:ilvl="8" w:tplc="49603C60">
      <w:numFmt w:val="bullet"/>
      <w:lvlText w:val="•"/>
      <w:lvlJc w:val="left"/>
      <w:pPr>
        <w:ind w:left="6050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E66E0"/>
    <w:rsid w:val="0012569B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2</cp:revision>
  <dcterms:created xsi:type="dcterms:W3CDTF">2023-07-21T03:10:00Z</dcterms:created>
  <dcterms:modified xsi:type="dcterms:W3CDTF">2023-07-21T08:30:00Z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