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8D" w:rsidRDefault="00784C8D" w:rsidP="00107B73">
      <w:pPr>
        <w:spacing w:line="4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行政院農業委員會高雄區農業改良場</w:t>
      </w:r>
    </w:p>
    <w:p w:rsidR="007D6A29" w:rsidRDefault="007D6A29" w:rsidP="00107B73">
      <w:pPr>
        <w:spacing w:line="4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</w:p>
    <w:p w:rsidR="007D6A29" w:rsidRDefault="007D6A29" w:rsidP="00107B73">
      <w:pPr>
        <w:spacing w:line="4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7D6A29">
        <w:rPr>
          <w:rFonts w:ascii="標楷體" w:eastAsia="標楷體" w:hAnsi="標楷體" w:cs="標楷體" w:hint="eastAsia"/>
          <w:kern w:val="0"/>
          <w:sz w:val="36"/>
          <w:szCs w:val="36"/>
        </w:rPr>
        <w:t>「</w:t>
      </w:r>
      <w:r w:rsidR="003266F9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毛豆多功能乘坐式田間管理機</w:t>
      </w:r>
      <w:r w:rsidR="003266F9">
        <w:rPr>
          <w:rFonts w:ascii="標楷體" w:eastAsia="標楷體" w:hAnsi="標楷體" w:cs="標楷體" w:hint="eastAsia"/>
          <w:kern w:val="0"/>
          <w:sz w:val="36"/>
          <w:szCs w:val="36"/>
        </w:rPr>
        <w:t>1</w:t>
      </w:r>
      <w:r w:rsidR="003266F9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台</w:t>
      </w:r>
      <w:r w:rsidRPr="007D6A29">
        <w:rPr>
          <w:rFonts w:ascii="標楷體" w:eastAsia="標楷體" w:hAnsi="標楷體" w:cs="標楷體" w:hint="eastAsia"/>
          <w:kern w:val="0"/>
          <w:sz w:val="36"/>
          <w:szCs w:val="36"/>
        </w:rPr>
        <w:t>」</w:t>
      </w:r>
    </w:p>
    <w:p w:rsidR="00ED4D50" w:rsidRDefault="00BC5549" w:rsidP="00107B73">
      <w:pPr>
        <w:spacing w:line="4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財物</w:t>
      </w:r>
      <w:r w:rsidRPr="00B05F30">
        <w:rPr>
          <w:rFonts w:ascii="標楷體" w:eastAsia="標楷體" w:hAnsi="標楷體" w:cs="標楷體" w:hint="eastAsia"/>
          <w:kern w:val="0"/>
          <w:sz w:val="36"/>
          <w:szCs w:val="36"/>
        </w:rPr>
        <w:t>採購規格書</w:t>
      </w:r>
    </w:p>
    <w:p w:rsidR="00BC5549" w:rsidRPr="00A44F29" w:rsidRDefault="00BC5549" w:rsidP="007D6A29">
      <w:pPr>
        <w:ind w:leftChars="-59" w:left="-2" w:hangingChars="50" w:hanging="140"/>
        <w:rPr>
          <w:rFonts w:ascii="標楷體" w:eastAsia="標楷體" w:hAnsi="標楷體" w:cs="標楷體"/>
          <w:kern w:val="0"/>
          <w:sz w:val="28"/>
          <w:szCs w:val="28"/>
        </w:rPr>
      </w:pPr>
      <w:r w:rsidRPr="00A44F2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一、採購標的及規格</w:t>
      </w:r>
      <w:r w:rsidRPr="00A44F29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</w:t>
      </w:r>
    </w:p>
    <w:tbl>
      <w:tblPr>
        <w:tblStyle w:val="a3"/>
        <w:tblW w:w="13893" w:type="dxa"/>
        <w:tblLook w:val="04A0" w:firstRow="1" w:lastRow="0" w:firstColumn="1" w:lastColumn="0" w:noHBand="0" w:noVBand="1"/>
      </w:tblPr>
      <w:tblGrid>
        <w:gridCol w:w="2410"/>
        <w:gridCol w:w="992"/>
        <w:gridCol w:w="7513"/>
        <w:gridCol w:w="2978"/>
      </w:tblGrid>
      <w:tr w:rsidR="007D6A29" w:rsidTr="007D6A29">
        <w:tc>
          <w:tcPr>
            <w:tcW w:w="2410" w:type="dxa"/>
          </w:tcPr>
          <w:p w:rsidR="007D6A29" w:rsidRPr="00784C8D" w:rsidRDefault="007D6A2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採購標的名稱</w:t>
            </w:r>
          </w:p>
        </w:tc>
        <w:tc>
          <w:tcPr>
            <w:tcW w:w="992" w:type="dxa"/>
          </w:tcPr>
          <w:p w:rsidR="007D6A29" w:rsidRPr="00784C8D" w:rsidRDefault="007D6A2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數量</w:t>
            </w:r>
          </w:p>
        </w:tc>
        <w:tc>
          <w:tcPr>
            <w:tcW w:w="7513" w:type="dxa"/>
          </w:tcPr>
          <w:p w:rsidR="007D6A29" w:rsidRPr="00784C8D" w:rsidRDefault="007D6A29" w:rsidP="0092221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規格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</w:tc>
        <w:tc>
          <w:tcPr>
            <w:tcW w:w="2978" w:type="dxa"/>
          </w:tcPr>
          <w:p w:rsidR="007D6A29" w:rsidRPr="00784C8D" w:rsidRDefault="007D6A29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履約期限</w:t>
            </w:r>
          </w:p>
        </w:tc>
      </w:tr>
      <w:tr w:rsidR="007D6A29" w:rsidRPr="00BC5549" w:rsidTr="007D6A29">
        <w:trPr>
          <w:trHeight w:val="699"/>
        </w:trPr>
        <w:tc>
          <w:tcPr>
            <w:tcW w:w="2410" w:type="dxa"/>
          </w:tcPr>
          <w:p w:rsidR="007D6A29" w:rsidRPr="007D6A29" w:rsidRDefault="003266F9" w:rsidP="0094011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266F9">
              <w:rPr>
                <w:rFonts w:ascii="標楷體" w:eastAsia="標楷體" w:hAnsi="標楷體" w:hint="eastAsia"/>
                <w:b/>
                <w:sz w:val="28"/>
                <w:szCs w:val="28"/>
              </w:rPr>
              <w:t>毛豆多功能乘坐式田間管理機</w:t>
            </w:r>
          </w:p>
        </w:tc>
        <w:tc>
          <w:tcPr>
            <w:tcW w:w="992" w:type="dxa"/>
          </w:tcPr>
          <w:p w:rsidR="007D6A29" w:rsidRPr="006E65C3" w:rsidRDefault="007D6A29" w:rsidP="007D6A2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1台</w:t>
            </w:r>
          </w:p>
        </w:tc>
        <w:tc>
          <w:tcPr>
            <w:tcW w:w="7513" w:type="dxa"/>
          </w:tcPr>
          <w:p w:rsidR="003266F9" w:rsidRPr="003266F9" w:rsidRDefault="003266F9" w:rsidP="003266F9">
            <w:pPr>
              <w:numPr>
                <w:ilvl w:val="0"/>
                <w:numId w:val="18"/>
              </w:numPr>
              <w:tabs>
                <w:tab w:val="clear" w:pos="375"/>
                <w:tab w:val="left" w:pos="360"/>
              </w:tabs>
              <w:spacing w:beforeLines="50" w:before="180" w:line="440" w:lineRule="exact"/>
              <w:ind w:left="374" w:hanging="482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機體及引擎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駕駛型式：乘坐式。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全長：4.0~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.3"/>
                <w:attr w:name="UnitName" w:val="m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>4.3 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全寬：1.8~</w:t>
            </w:r>
            <w:smartTag w:uri="urn:schemas-microsoft-com:office:smarttags" w:element="chmetcnv">
              <w:smartTagPr>
                <w:attr w:name="UnitName" w:val="m"/>
                <w:attr w:name="SourceValue" w:val="2.1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>2.1 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全高：1.6~1.9 m。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輪距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：可調整，174~</w:t>
            </w:r>
            <w:smartTag w:uri="urn:schemas-microsoft-com:office:smarttags" w:element="chmetcnv">
              <w:smartTagPr>
                <w:attr w:name="UnitName" w:val="cm"/>
                <w:attr w:name="SourceValue" w:val="186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>186 cm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底部離地面高度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60~</w:t>
            </w:r>
            <w:smartTag w:uri="urn:schemas-microsoft-com:office:smarttags" w:element="chmetcnv">
              <w:smartTagPr>
                <w:attr w:name="UnitName" w:val="cm"/>
                <w:attr w:name="SourceValue" w:val="75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>75 cm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引擎種類：水冷式柴油四衝程。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最大馬力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23 </w:t>
            </w:r>
            <w:r w:rsidRPr="003266F9">
              <w:rPr>
                <w:rFonts w:ascii="標楷體" w:eastAsia="標楷體" w:hAnsi="標楷體" w:cs="Times New Roman"/>
                <w:sz w:val="28"/>
                <w:szCs w:val="28"/>
              </w:rPr>
              <w:t>HP</w:t>
            </w: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輸出馬力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23/2800 </w:t>
            </w:r>
            <w:r w:rsidRPr="003266F9">
              <w:rPr>
                <w:rFonts w:ascii="標楷體" w:eastAsia="標楷體" w:hAnsi="標楷體" w:cs="Times New Roman"/>
                <w:sz w:val="28"/>
                <w:szCs w:val="28"/>
              </w:rPr>
              <w:t>P</w:t>
            </w: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S/rpm。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tabs>
                <w:tab w:val="left" w:pos="360"/>
              </w:tabs>
              <w:spacing w:line="440" w:lineRule="exact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PTO回轉速：550~850 rpm。</w:t>
            </w:r>
          </w:p>
          <w:p w:rsidR="003266F9" w:rsidRPr="003266F9" w:rsidRDefault="003266F9" w:rsidP="003266F9">
            <w:pPr>
              <w:numPr>
                <w:ilvl w:val="0"/>
                <w:numId w:val="18"/>
              </w:numPr>
              <w:tabs>
                <w:tab w:val="clear" w:pos="375"/>
                <w:tab w:val="left" w:pos="360"/>
              </w:tabs>
              <w:spacing w:beforeLines="50" w:before="180" w:line="440" w:lineRule="exact"/>
              <w:ind w:left="374" w:hanging="482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行走部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車輪寬度：10~15 cm。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軸距：145~</w:t>
            </w:r>
            <w:smartTag w:uri="urn:schemas-microsoft-com:office:smarttags" w:element="chmetcnv">
              <w:smartTagPr>
                <w:attr w:name="UnitName" w:val="cm"/>
                <w:attr w:name="SourceValue" w:val="155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>155 cm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傳動系統：四輪驅動。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轉向方式：油壓動力四輪轉向，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並可前輪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、後輪單獨轉向。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變速方式：</w:t>
            </w:r>
            <w:r w:rsidRPr="003266F9">
              <w:rPr>
                <w:rFonts w:ascii="標楷體" w:eastAsia="標楷體" w:hAnsi="標楷體" w:cs="Times New Roman"/>
                <w:sz w:val="28"/>
                <w:szCs w:val="28"/>
              </w:rPr>
              <w:t>HST</w:t>
            </w:r>
            <w:proofErr w:type="gramStart"/>
            <w:r w:rsidRPr="003266F9">
              <w:rPr>
                <w:rFonts w:ascii="標楷體" w:eastAsia="標楷體" w:hAnsi="標楷體" w:cs="Arial"/>
                <w:sz w:val="28"/>
                <w:szCs w:val="28"/>
              </w:rPr>
              <w:t>液壓無段變速</w:t>
            </w:r>
            <w:proofErr w:type="gramEnd"/>
            <w:r w:rsidRPr="003266F9">
              <w:rPr>
                <w:rFonts w:ascii="標楷體" w:eastAsia="標楷體" w:hAnsi="標楷體" w:cs="Arial"/>
                <w:sz w:val="28"/>
                <w:szCs w:val="28"/>
              </w:rPr>
              <w:t>系統及齒輪組</w:t>
            </w:r>
            <w:r w:rsidRPr="003266F9">
              <w:rPr>
                <w:rFonts w:ascii="標楷體" w:eastAsia="標楷體" w:hAnsi="標楷體" w:cs="Arial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主 變 速：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無段變</w:t>
            </w:r>
            <w:r w:rsidRPr="003266F9">
              <w:rPr>
                <w:rFonts w:ascii="標楷體" w:eastAsia="標楷體" w:hAnsi="標楷體" w:cs="Arial"/>
                <w:sz w:val="28"/>
                <w:szCs w:val="28"/>
              </w:rPr>
              <w:t>速</w:t>
            </w:r>
            <w:proofErr w:type="gramEnd"/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副 變 速：前進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3段，後退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3段。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最小廻轉半徑：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≦</w:t>
            </w:r>
            <w:proofErr w:type="gramEnd"/>
            <w:smartTag w:uri="urn:schemas-microsoft-com:office:smarttags" w:element="chmetcnv">
              <w:smartTagPr>
                <w:attr w:name="UnitName" w:val="m"/>
                <w:attr w:name="SourceValue" w:val="2.7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3266F9">
                <w:rPr>
                  <w:rFonts w:ascii="標楷體" w:eastAsia="標楷體" w:hAnsi="標楷體" w:cs="Times New Roman" w:hint="eastAsia"/>
                  <w:sz w:val="28"/>
                  <w:szCs w:val="28"/>
                </w:rPr>
                <w:t xml:space="preserve">2.7 </w:t>
              </w:r>
              <w:r w:rsidRPr="003266F9">
                <w:rPr>
                  <w:rFonts w:ascii="標楷體" w:eastAsia="標楷體" w:hAnsi="標楷體" w:cs="Times New Roman"/>
                  <w:sz w:val="28"/>
                  <w:szCs w:val="28"/>
                </w:rPr>
                <w:t>m</w:t>
              </w:r>
            </w:smartTag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行走速度：高速前進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12 km/h，高速後退</w:t>
            </w:r>
            <w:proofErr w:type="gramStart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≧</w:t>
            </w:r>
            <w:proofErr w:type="gramEnd"/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8 km/h。</w:t>
            </w:r>
          </w:p>
          <w:p w:rsidR="003266F9" w:rsidRPr="003266F9" w:rsidRDefault="003266F9" w:rsidP="003266F9">
            <w:pPr>
              <w:numPr>
                <w:ilvl w:val="0"/>
                <w:numId w:val="18"/>
              </w:numPr>
              <w:tabs>
                <w:tab w:val="clear" w:pos="375"/>
                <w:tab w:val="left" w:pos="360"/>
              </w:tabs>
              <w:spacing w:beforeLines="50" w:before="180" w:line="440" w:lineRule="exact"/>
              <w:ind w:left="374" w:hanging="482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作業機升降裝置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安裝方式：快速接頭2點連接。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水平控制：自動。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升降方式：單控式。</w:t>
            </w:r>
          </w:p>
          <w:p w:rsidR="003266F9" w:rsidRPr="003266F9" w:rsidRDefault="003266F9" w:rsidP="003266F9">
            <w:pPr>
              <w:numPr>
                <w:ilvl w:val="1"/>
                <w:numId w:val="18"/>
              </w:numPr>
              <w:spacing w:line="4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66F9">
              <w:rPr>
                <w:rFonts w:ascii="標楷體" w:eastAsia="標楷體" w:hAnsi="標楷體" w:cs="Times New Roman" w:hint="eastAsia"/>
                <w:sz w:val="28"/>
                <w:szCs w:val="28"/>
              </w:rPr>
              <w:t>倒車舉高：有。</w:t>
            </w:r>
          </w:p>
          <w:p w:rsidR="003266F9" w:rsidRPr="003266F9" w:rsidRDefault="003266F9" w:rsidP="003266F9">
            <w:pPr>
              <w:numPr>
                <w:ilvl w:val="0"/>
                <w:numId w:val="18"/>
              </w:numPr>
              <w:tabs>
                <w:tab w:val="clear" w:pos="375"/>
                <w:tab w:val="num" w:pos="426"/>
              </w:tabs>
              <w:spacing w:beforeLines="50" w:before="180" w:line="440" w:lineRule="exact"/>
              <w:ind w:left="567" w:hanging="567"/>
              <w:rPr>
                <w:rFonts w:ascii="標楷體" w:eastAsia="標楷體" w:hAnsi="標楷體" w:cs="Times New Roman"/>
                <w:b/>
                <w:bCs/>
                <w:sz w:val="28"/>
                <w:szCs w:val="28"/>
              </w:rPr>
            </w:pPr>
            <w:r w:rsidRPr="003266F9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其他：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可</w:t>
            </w:r>
            <w:proofErr w:type="gramStart"/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附掛本場</w:t>
            </w:r>
            <w:proofErr w:type="gramEnd"/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既有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ISEKI</w:t>
            </w:r>
            <w:proofErr w:type="gramStart"/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桿式噴</w:t>
            </w:r>
            <w:proofErr w:type="gramEnd"/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藥機具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(VBS600)</w:t>
            </w:r>
            <w:r w:rsidRPr="003266F9">
              <w:rPr>
                <w:rFonts w:ascii="新細明體" w:eastAsia="新細明體" w:hAnsi="新細明體" w:cs="Times New Roman" w:hint="eastAsia"/>
                <w:bCs/>
                <w:sz w:val="28"/>
                <w:szCs w:val="28"/>
              </w:rPr>
              <w:t>、</w:t>
            </w:r>
            <w:r w:rsidRPr="003266F9">
              <w:rPr>
                <w:rFonts w:ascii="標楷體" w:eastAsia="標楷體" w:hAnsi="標楷體" w:cs="Times New Roman" w:hint="eastAsia"/>
                <w:bCs/>
                <w:sz w:val="28"/>
                <w:szCs w:val="28"/>
              </w:rPr>
              <w:t>施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肥機具</w:t>
            </w:r>
            <w:r w:rsidRPr="003266F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(PS140)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lang w:eastAsia="zh-HK"/>
              </w:rPr>
              <w:t>及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中耕除草機具</w:t>
            </w:r>
            <w:r w:rsidRPr="003266F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(H3-200)</w:t>
            </w:r>
            <w:r w:rsidRPr="003266F9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。</w:t>
            </w:r>
          </w:p>
          <w:p w:rsidR="007D6A29" w:rsidRPr="003266F9" w:rsidRDefault="007D6A29" w:rsidP="00814C11">
            <w:pPr>
              <w:tabs>
                <w:tab w:val="left" w:pos="179"/>
              </w:tabs>
              <w:spacing w:line="400" w:lineRule="exact"/>
              <w:ind w:leftChars="295" w:left="708" w:firstLine="1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8" w:type="dxa"/>
          </w:tcPr>
          <w:p w:rsidR="00814C11" w:rsidRDefault="00814C11" w:rsidP="00814C1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  <w:r w:rsidRPr="00814C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lastRenderedPageBreak/>
              <w:t>得標廠商應於</w:t>
            </w:r>
            <w:r w:rsidRPr="00814C11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  <w:lang w:eastAsia="zh-HK"/>
              </w:rPr>
              <w:t>決標日次日起60個</w:t>
            </w:r>
            <w:r w:rsidR="003266F9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  <w:lang w:eastAsia="zh-HK"/>
              </w:rPr>
              <w:t>日曆天以前</w:t>
            </w:r>
            <w:r w:rsidRPr="00814C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將採購標的送達本場旗南分場指定地點，並完成安裝測試至可正常使用狀態及教育訓練。</w:t>
            </w:r>
          </w:p>
          <w:p w:rsidR="007D6A29" w:rsidRPr="0092221B" w:rsidRDefault="007D6A29" w:rsidP="003266F9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7D6A2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</w:t>
            </w:r>
          </w:p>
        </w:tc>
      </w:tr>
    </w:tbl>
    <w:p w:rsidR="00BC5549" w:rsidRPr="00A44F29" w:rsidRDefault="007D6A29" w:rsidP="007D6A29">
      <w:pPr>
        <w:ind w:leftChars="-59" w:left="-2" w:hangingChars="50" w:hanging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lastRenderedPageBreak/>
        <w:t>二</w:t>
      </w:r>
      <w:r w:rsidR="00DC1FD7">
        <w:rPr>
          <w:rFonts w:ascii="標楷體" w:eastAsia="標楷體" w:hAnsi="標楷體" w:hint="eastAsia"/>
          <w:sz w:val="28"/>
          <w:szCs w:val="28"/>
          <w:lang w:eastAsia="zh-HK"/>
        </w:rPr>
        <w:t>、</w:t>
      </w:r>
      <w:r w:rsidR="00BC5549" w:rsidRPr="00A44F29">
        <w:rPr>
          <w:rFonts w:ascii="標楷體" w:eastAsia="標楷體" w:hAnsi="標楷體" w:hint="eastAsia"/>
          <w:sz w:val="28"/>
          <w:szCs w:val="28"/>
          <w:lang w:eastAsia="zh-HK"/>
        </w:rPr>
        <w:t>備註：</w:t>
      </w:r>
    </w:p>
    <w:p w:rsidR="00BC5549" w:rsidRPr="00A44F29" w:rsidRDefault="00BC5549" w:rsidP="00DC1FD7">
      <w:pPr>
        <w:kinsoku w:val="0"/>
        <w:overflowPunct w:val="0"/>
        <w:spacing w:line="460" w:lineRule="exact"/>
        <w:ind w:leftChars="177" w:left="1265" w:hangingChars="300" w:hanging="84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一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）需安排人力陪同辦理驗收程序，並自交貨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驗收合格日</w:t>
      </w:r>
      <w:r w:rsidR="007D6A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次</w:t>
      </w:r>
      <w:r w:rsidR="007D6A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日起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負責保固</w:t>
      </w:r>
      <w:r w:rsidR="007D6A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1</w:t>
      </w:r>
      <w:r w:rsidR="00940114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年</w:t>
      </w:r>
      <w:r w:rsidR="0092221B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 xml:space="preserve"> 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，並需檢</w:t>
      </w:r>
      <w:proofErr w:type="gramStart"/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附保固書</w:t>
      </w:r>
      <w:proofErr w:type="gramEnd"/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。得標廠商在保固期間內，如非人為因素之損壞，應負責修護或零件更換。</w:t>
      </w:r>
    </w:p>
    <w:p w:rsidR="00BC5549" w:rsidRPr="00A44F29" w:rsidRDefault="00BC5549" w:rsidP="00DC1FD7">
      <w:pPr>
        <w:kinsoku w:val="0"/>
        <w:overflowPunct w:val="0"/>
        <w:spacing w:line="460" w:lineRule="exact"/>
        <w:ind w:leftChars="177" w:left="1265" w:hangingChars="300" w:hanging="84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DC1FD7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二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）得標廠商須免費派員至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本場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旗南分場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指定地點</w:t>
      </w:r>
      <w:r w:rsidR="00784C8D"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實施實際操作教育訓練(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至少</w:t>
      </w:r>
      <w:r w:rsidR="003266F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3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小時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)，並提供中文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或</w:t>
      </w:r>
      <w:r w:rsidR="003266F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原文儀器操作手冊或使用</w:t>
      </w:r>
      <w:r w:rsidR="0092221B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說明書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</w:rPr>
        <w:t>1</w:t>
      </w:r>
      <w:r w:rsidR="0092221B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份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</w:p>
    <w:p w:rsidR="00BC5549" w:rsidRPr="00A44F29" w:rsidRDefault="00BC5549" w:rsidP="00DC1FD7">
      <w:pPr>
        <w:kinsoku w:val="0"/>
        <w:overflowPunct w:val="0"/>
        <w:spacing w:line="460" w:lineRule="exact"/>
        <w:ind w:leftChars="177" w:left="1265" w:hangingChars="300" w:hanging="84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lastRenderedPageBreak/>
        <w:t>（</w:t>
      </w:r>
      <w:r w:rsidR="00DC1FD7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得標廠商應提供</w:t>
      </w:r>
      <w:r w:rsidR="003266F9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2018</w:t>
      </w:r>
      <w:r w:rsidR="003266F9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年1月以後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出廠之全新品，並須檢附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產地證明</w:t>
      </w:r>
      <w:r w:rsidR="00940114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或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出廠證明</w:t>
      </w:r>
      <w:proofErr w:type="gramStart"/>
      <w:r w:rsidR="0058435B">
        <w:rPr>
          <w:rFonts w:ascii="標楷體" w:eastAsia="標楷體" w:hAnsi="標楷體" w:cs="Times New Roman" w:hint="eastAsia"/>
          <w:bCs/>
          <w:sz w:val="28"/>
          <w:szCs w:val="28"/>
        </w:rPr>
        <w:t>【</w:t>
      </w:r>
      <w:proofErr w:type="gramEnd"/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該證明文件須含有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製造商名稱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(若為國內廠商須標示公司名稱及地址等資料並蓋公司大小章；若為國外廠商，須有原廠簽名)、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製造日期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(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  <w:lang w:eastAsia="zh-HK"/>
        </w:rPr>
        <w:t>或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出廠日期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)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產地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履約標的之型號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及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序號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等相關資訊</w:t>
      </w:r>
      <w:proofErr w:type="gramStart"/>
      <w:r w:rsidR="0058435B">
        <w:rPr>
          <w:rFonts w:ascii="標楷體" w:eastAsia="標楷體" w:hAnsi="標楷體" w:cs="Times New Roman" w:hint="eastAsia"/>
          <w:bCs/>
          <w:sz w:val="28"/>
          <w:szCs w:val="28"/>
        </w:rPr>
        <w:t>】</w:t>
      </w:r>
      <w:proofErr w:type="gramEnd"/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，若無法由該文件查得者，請檢附進口報單(須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加蓋海關章戳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或其他證明資料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供查驗)。</w:t>
      </w:r>
    </w:p>
    <w:p w:rsidR="00BC5549" w:rsidRPr="003658D9" w:rsidRDefault="00BC5549" w:rsidP="007D6A29">
      <w:pPr>
        <w:autoSpaceDE w:val="0"/>
        <w:autoSpaceDN w:val="0"/>
        <w:adjustRightInd w:val="0"/>
        <w:spacing w:line="460" w:lineRule="exact"/>
        <w:ind w:leftChars="177" w:left="1273" w:hangingChars="303" w:hanging="848"/>
        <w:textDirection w:val="lrTbV"/>
        <w:rPr>
          <w:rFonts w:ascii="標楷體" w:eastAsia="標楷體" w:hAnsi="標楷體" w:cs="Times New Roman"/>
          <w:b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 w:rsidR="00DC1FD7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四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外國廠商不可參與投標，但我國廠商所供應財物之原產地</w:t>
      </w:r>
      <w:r w:rsidR="007D6A2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得為</w:t>
      </w:r>
      <w:r w:rsidR="003266F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法國或義大利或德國或美國或日本或韓國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，</w:t>
      </w:r>
      <w:r w:rsidR="0092221B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且</w:t>
      </w:r>
      <w:r w:rsidR="007D6A2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不</w:t>
      </w:r>
      <w:r w:rsidR="00F851C1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允許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供應大陸地區標的。</w:t>
      </w:r>
    </w:p>
    <w:p w:rsidR="00BC5549" w:rsidRPr="00A44F29" w:rsidRDefault="00BC5549" w:rsidP="00DC1FD7">
      <w:pPr>
        <w:kinsoku w:val="0"/>
        <w:overflowPunct w:val="0"/>
        <w:spacing w:line="460" w:lineRule="exact"/>
        <w:ind w:leftChars="177" w:left="845" w:hangingChars="150" w:hanging="42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DC1FD7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五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）確認所交貨之物品為經過整體系統設計、測試及運作之商品化產品，以確保使用之穩定性及安全性。</w:t>
      </w:r>
    </w:p>
    <w:p w:rsidR="00BC5549" w:rsidRPr="00A44F29" w:rsidRDefault="00BC5549" w:rsidP="00DC1FD7">
      <w:pPr>
        <w:kinsoku w:val="0"/>
        <w:overflowPunct w:val="0"/>
        <w:spacing w:line="460" w:lineRule="exact"/>
        <w:ind w:leftChars="177" w:left="845" w:hangingChars="150" w:hanging="42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DC1FD7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六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）相關文件資料如有假造，不予驗收，並依法追究相關責任。</w:t>
      </w:r>
    </w:p>
    <w:p w:rsidR="00BC5549" w:rsidRDefault="00BC5549" w:rsidP="00DC1FD7">
      <w:pPr>
        <w:autoSpaceDE w:val="0"/>
        <w:autoSpaceDN w:val="0"/>
        <w:adjustRightInd w:val="0"/>
        <w:spacing w:line="460" w:lineRule="exact"/>
        <w:ind w:leftChars="177" w:left="845" w:hangingChars="150" w:hanging="420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 w:rsidR="00DC1FD7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七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履約地點：高雄區農業改良場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旗南分場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地址：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高雄市旗山區南隆街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</w:rPr>
        <w:t>3</w:t>
      </w:r>
      <w:r w:rsidR="007D6A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號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)。</w:t>
      </w:r>
    </w:p>
    <w:p w:rsidR="007D6A29" w:rsidRDefault="007D6A29" w:rsidP="00DC1FD7">
      <w:pPr>
        <w:autoSpaceDE w:val="0"/>
        <w:autoSpaceDN w:val="0"/>
        <w:adjustRightInd w:val="0"/>
        <w:spacing w:line="460" w:lineRule="exact"/>
        <w:ind w:leftChars="177" w:left="845" w:hangingChars="150" w:hanging="420"/>
        <w:rPr>
          <w:rFonts w:ascii="標楷體" w:eastAsia="標楷體" w:hAnsi="標楷體" w:cs="Times New Roman"/>
          <w:bCs/>
          <w:sz w:val="28"/>
          <w:szCs w:val="28"/>
        </w:rPr>
      </w:pPr>
    </w:p>
    <w:p w:rsidR="00BC5549" w:rsidRDefault="00BC5549" w:rsidP="00BC5549">
      <w:bookmarkStart w:id="0" w:name="_GoBack"/>
      <w:bookmarkEnd w:id="0"/>
    </w:p>
    <w:sectPr w:rsidR="00BC5549" w:rsidSect="007D6A29">
      <w:footerReference w:type="default" r:id="rId9"/>
      <w:pgSz w:w="16838" w:h="11906" w:orient="landscape" w:code="9"/>
      <w:pgMar w:top="567" w:right="1440" w:bottom="567" w:left="144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062" w:rsidRDefault="00681062" w:rsidP="009F65D9">
      <w:r>
        <w:separator/>
      </w:r>
    </w:p>
  </w:endnote>
  <w:endnote w:type="continuationSeparator" w:id="0">
    <w:p w:rsidR="00681062" w:rsidRDefault="00681062" w:rsidP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¼Ð·¢Å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434740"/>
      <w:docPartObj>
        <w:docPartGallery w:val="Page Numbers (Bottom of Page)"/>
        <w:docPartUnique/>
      </w:docPartObj>
    </w:sdtPr>
    <w:sdtEndPr/>
    <w:sdtContent>
      <w:p w:rsidR="009F65D9" w:rsidRDefault="009F65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613" w:rsidRPr="004A5613">
          <w:rPr>
            <w:noProof/>
            <w:lang w:val="zh-TW"/>
          </w:rPr>
          <w:t>3</w:t>
        </w:r>
        <w:r>
          <w:fldChar w:fldCharType="end"/>
        </w:r>
      </w:p>
    </w:sdtContent>
  </w:sdt>
  <w:p w:rsidR="009F65D9" w:rsidRDefault="009F65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062" w:rsidRDefault="00681062" w:rsidP="009F65D9">
      <w:r>
        <w:separator/>
      </w:r>
    </w:p>
  </w:footnote>
  <w:footnote w:type="continuationSeparator" w:id="0">
    <w:p w:rsidR="00681062" w:rsidRDefault="00681062" w:rsidP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0394"/>
    <w:multiLevelType w:val="hybridMultilevel"/>
    <w:tmpl w:val="F4061A70"/>
    <w:lvl w:ilvl="0" w:tplc="9378D294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985203AE">
      <w:start w:val="1"/>
      <w:numFmt w:val="decimal"/>
      <w:lvlText w:val="(%2)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2" w:tplc="401259C4">
      <w:start w:val="1"/>
      <w:numFmt w:val="ideographTraditional"/>
      <w:lvlText w:val="%3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>
    <w:nsid w:val="235E7546"/>
    <w:multiLevelType w:val="hybridMultilevel"/>
    <w:tmpl w:val="B0AC4CC0"/>
    <w:lvl w:ilvl="0" w:tplc="9378D294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277B4120"/>
    <w:multiLevelType w:val="hybridMultilevel"/>
    <w:tmpl w:val="1512ABA2"/>
    <w:lvl w:ilvl="0" w:tplc="0409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7BD4406"/>
    <w:multiLevelType w:val="hybridMultilevel"/>
    <w:tmpl w:val="6EEE1F56"/>
    <w:lvl w:ilvl="0" w:tplc="2438D866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D3D478C"/>
    <w:multiLevelType w:val="hybridMultilevel"/>
    <w:tmpl w:val="12C44D6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2F04FC5"/>
    <w:multiLevelType w:val="hybridMultilevel"/>
    <w:tmpl w:val="0B8E8B6E"/>
    <w:lvl w:ilvl="0" w:tplc="E1A88ED0">
      <w:start w:val="1"/>
      <w:numFmt w:val="taiwaneseCountingThousand"/>
      <w:lvlText w:val="%1、"/>
      <w:lvlJc w:val="left"/>
      <w:pPr>
        <w:tabs>
          <w:tab w:val="num" w:pos="375"/>
        </w:tabs>
        <w:ind w:left="375" w:hanging="480"/>
      </w:pPr>
      <w:rPr>
        <w:rFonts w:hint="eastAsia"/>
        <w:b/>
      </w:rPr>
    </w:lvl>
    <w:lvl w:ilvl="1" w:tplc="53100EC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  <w:b w:val="0"/>
        <w:color w:val="auto"/>
      </w:rPr>
    </w:lvl>
    <w:lvl w:ilvl="2" w:tplc="0D28396A">
      <w:start w:val="1"/>
      <w:numFmt w:val="taiwaneseCountingThousand"/>
      <w:lvlText w:val="(%3)"/>
      <w:lvlJc w:val="left"/>
      <w:pPr>
        <w:tabs>
          <w:tab w:val="num" w:pos="1430"/>
        </w:tabs>
        <w:ind w:left="1430" w:hanging="720"/>
      </w:pPr>
      <w:rPr>
        <w:rFonts w:cs="DFKaiShu-SB-Estd-BF" w:hint="default"/>
        <w:color w:val="auto"/>
      </w:rPr>
    </w:lvl>
    <w:lvl w:ilvl="3" w:tplc="945AE432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3851FEE"/>
    <w:multiLevelType w:val="hybridMultilevel"/>
    <w:tmpl w:val="4BBE0EDA"/>
    <w:lvl w:ilvl="0" w:tplc="9378D294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>
    <w:nsid w:val="456319CE"/>
    <w:multiLevelType w:val="hybridMultilevel"/>
    <w:tmpl w:val="565A0FC2"/>
    <w:lvl w:ilvl="0" w:tplc="A7FE2A3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88B38A3"/>
    <w:multiLevelType w:val="hybridMultilevel"/>
    <w:tmpl w:val="1ABE2EB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267BF8"/>
    <w:multiLevelType w:val="hybridMultilevel"/>
    <w:tmpl w:val="10527832"/>
    <w:lvl w:ilvl="0" w:tplc="A7FE2A3A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59328A"/>
    <w:multiLevelType w:val="hybridMultilevel"/>
    <w:tmpl w:val="F4D2B9FC"/>
    <w:lvl w:ilvl="0" w:tplc="609243D4">
      <w:start w:val="1"/>
      <w:numFmt w:val="taiwaneseCountingThousand"/>
      <w:lvlText w:val="%1、"/>
      <w:lvlJc w:val="left"/>
      <w:pPr>
        <w:tabs>
          <w:tab w:val="num" w:pos="375"/>
        </w:tabs>
        <w:ind w:left="375" w:hanging="480"/>
      </w:pPr>
      <w:rPr>
        <w:rFonts w:hint="eastAsia"/>
      </w:rPr>
    </w:lvl>
    <w:lvl w:ilvl="1" w:tplc="0D28396A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cs="DFKaiShu-SB-Estd-BF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79C3387"/>
    <w:multiLevelType w:val="hybridMultilevel"/>
    <w:tmpl w:val="DF5688B6"/>
    <w:lvl w:ilvl="0" w:tplc="5872A1C4">
      <w:start w:val="1"/>
      <w:numFmt w:val="decimal"/>
      <w:lvlText w:val="%1.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57CD2602"/>
    <w:multiLevelType w:val="hybridMultilevel"/>
    <w:tmpl w:val="DFD23248"/>
    <w:lvl w:ilvl="0" w:tplc="5872A1C4">
      <w:start w:val="1"/>
      <w:numFmt w:val="decimal"/>
      <w:lvlText w:val="%1."/>
      <w:lvlJc w:val="left"/>
      <w:pPr>
        <w:tabs>
          <w:tab w:val="num" w:pos="375"/>
        </w:tabs>
        <w:ind w:left="375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BEE0D72"/>
    <w:multiLevelType w:val="hybridMultilevel"/>
    <w:tmpl w:val="34643FB2"/>
    <w:lvl w:ilvl="0" w:tplc="1A688ABE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70111BF4"/>
    <w:multiLevelType w:val="hybridMultilevel"/>
    <w:tmpl w:val="3216BC4C"/>
    <w:lvl w:ilvl="0" w:tplc="9378D294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70B77804"/>
    <w:multiLevelType w:val="hybridMultilevel"/>
    <w:tmpl w:val="2BBE6790"/>
    <w:lvl w:ilvl="0" w:tplc="9378D294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C523F8"/>
    <w:multiLevelType w:val="hybridMultilevel"/>
    <w:tmpl w:val="23F0378E"/>
    <w:lvl w:ilvl="0" w:tplc="A89ACED8">
      <w:start w:val="1"/>
      <w:numFmt w:val="decimal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2"/>
  </w:num>
  <w:num w:numId="2">
    <w:abstractNumId w:val="12"/>
  </w:num>
  <w:num w:numId="3">
    <w:abstractNumId w:val="2"/>
  </w:num>
  <w:num w:numId="4">
    <w:abstractNumId w:val="16"/>
  </w:num>
  <w:num w:numId="5">
    <w:abstractNumId w:val="8"/>
  </w:num>
  <w:num w:numId="6">
    <w:abstractNumId w:val="4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5"/>
  </w:num>
  <w:num w:numId="15">
    <w:abstractNumId w:val="6"/>
  </w:num>
  <w:num w:numId="16">
    <w:abstractNumId w:val="0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49"/>
    <w:rsid w:val="00026F06"/>
    <w:rsid w:val="0009444E"/>
    <w:rsid w:val="000C11A0"/>
    <w:rsid w:val="000F79BF"/>
    <w:rsid w:val="0010245C"/>
    <w:rsid w:val="00107B73"/>
    <w:rsid w:val="0013447B"/>
    <w:rsid w:val="00147823"/>
    <w:rsid w:val="00250B2D"/>
    <w:rsid w:val="00260A08"/>
    <w:rsid w:val="003266F9"/>
    <w:rsid w:val="003658D9"/>
    <w:rsid w:val="004A5613"/>
    <w:rsid w:val="004C5485"/>
    <w:rsid w:val="0058435B"/>
    <w:rsid w:val="005F1B1E"/>
    <w:rsid w:val="00614EF8"/>
    <w:rsid w:val="00644D3C"/>
    <w:rsid w:val="00681062"/>
    <w:rsid w:val="006C6D3F"/>
    <w:rsid w:val="006E65C3"/>
    <w:rsid w:val="00784C8D"/>
    <w:rsid w:val="007D6A29"/>
    <w:rsid w:val="008119E9"/>
    <w:rsid w:val="00814C11"/>
    <w:rsid w:val="008164A0"/>
    <w:rsid w:val="00861866"/>
    <w:rsid w:val="00866FCB"/>
    <w:rsid w:val="008B757C"/>
    <w:rsid w:val="0092221B"/>
    <w:rsid w:val="00940114"/>
    <w:rsid w:val="009648A0"/>
    <w:rsid w:val="009D6BA9"/>
    <w:rsid w:val="009F35AA"/>
    <w:rsid w:val="009F65D9"/>
    <w:rsid w:val="00A44F29"/>
    <w:rsid w:val="00A55991"/>
    <w:rsid w:val="00B912DA"/>
    <w:rsid w:val="00BC5549"/>
    <w:rsid w:val="00C9305F"/>
    <w:rsid w:val="00DC1FD7"/>
    <w:rsid w:val="00DF01CC"/>
    <w:rsid w:val="00E10B52"/>
    <w:rsid w:val="00E52363"/>
    <w:rsid w:val="00E94756"/>
    <w:rsid w:val="00EB4A95"/>
    <w:rsid w:val="00F26374"/>
    <w:rsid w:val="00F851C1"/>
    <w:rsid w:val="00F86B4B"/>
    <w:rsid w:val="00FD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D7A5-22AF-4DA9-810D-52E44B48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2019-09-02T05:59:00Z</cp:lastPrinted>
  <dcterms:created xsi:type="dcterms:W3CDTF">2018-10-02T09:18:00Z</dcterms:created>
  <dcterms:modified xsi:type="dcterms:W3CDTF">2019-09-02T06:01:00Z</dcterms:modified>
</cp:coreProperties>
</file>