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83A" w:rsidRDefault="00BD083A" w:rsidP="00DC5AC8">
      <w:pPr>
        <w:jc w:val="center"/>
        <w:rPr>
          <w:rFonts w:ascii="標楷體" w:eastAsia="標楷體" w:hAnsi="標楷體"/>
          <w:b/>
          <w:kern w:val="0"/>
          <w:sz w:val="32"/>
          <w:szCs w:val="32"/>
        </w:rPr>
      </w:pPr>
      <w:r w:rsidRPr="00DC5AC8">
        <w:rPr>
          <w:rFonts w:ascii="標楷體" w:eastAsia="標楷體" w:hAnsi="標楷體" w:hint="eastAsia"/>
          <w:b/>
          <w:kern w:val="0"/>
          <w:sz w:val="32"/>
          <w:szCs w:val="32"/>
        </w:rPr>
        <w:t>高雄區農業改良場「</w:t>
      </w:r>
      <w:r>
        <w:rPr>
          <w:rFonts w:ascii="標楷體" w:eastAsia="標楷體" w:hAnsi="標楷體" w:hint="eastAsia"/>
          <w:b/>
          <w:sz w:val="32"/>
          <w:szCs w:val="32"/>
        </w:rPr>
        <w:t>掌上型分光光度色差計</w:t>
      </w:r>
      <w:r w:rsidRPr="00DC5AC8">
        <w:rPr>
          <w:rFonts w:ascii="標楷體" w:eastAsia="標楷體" w:hAnsi="標楷體"/>
          <w:b/>
          <w:sz w:val="32"/>
          <w:szCs w:val="32"/>
        </w:rPr>
        <w:t>1</w:t>
      </w:r>
      <w:r w:rsidRPr="00DC5AC8">
        <w:rPr>
          <w:rFonts w:ascii="標楷體" w:eastAsia="標楷體" w:hAnsi="標楷體" w:hint="eastAsia"/>
          <w:b/>
          <w:sz w:val="32"/>
          <w:szCs w:val="32"/>
        </w:rPr>
        <w:t>台</w:t>
      </w:r>
      <w:r w:rsidRPr="00DC5AC8">
        <w:rPr>
          <w:rFonts w:ascii="標楷體" w:eastAsia="標楷體" w:hAnsi="標楷體" w:hint="eastAsia"/>
          <w:b/>
          <w:kern w:val="0"/>
          <w:sz w:val="32"/>
          <w:szCs w:val="32"/>
        </w:rPr>
        <w:t>」規格</w:t>
      </w:r>
    </w:p>
    <w:p w:rsidR="00BD083A" w:rsidRPr="00795F2D" w:rsidRDefault="00BD083A" w:rsidP="00DC5AC8">
      <w:pPr>
        <w:jc w:val="center"/>
        <w:rPr>
          <w:rFonts w:ascii="標楷體" w:eastAsia="標楷體" w:hAnsi="標楷體"/>
          <w:b/>
          <w:sz w:val="28"/>
          <w:szCs w:val="28"/>
        </w:rPr>
      </w:pPr>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照明光源標準：</w:t>
      </w:r>
      <w:r w:rsidRPr="00DC5AC8">
        <w:rPr>
          <w:rFonts w:ascii="標楷體" w:eastAsia="標楷體" w:hAnsi="標楷體"/>
          <w:sz w:val="26"/>
          <w:szCs w:val="26"/>
        </w:rPr>
        <w:t xml:space="preserve"> D65</w:t>
      </w:r>
      <w:r w:rsidRPr="00DC5AC8">
        <w:rPr>
          <w:rFonts w:ascii="標楷體" w:eastAsia="標楷體" w:hAnsi="標楷體" w:hint="eastAsia"/>
          <w:sz w:val="26"/>
          <w:szCs w:val="26"/>
        </w:rPr>
        <w:t>，</w:t>
      </w:r>
      <w:r w:rsidRPr="00DC5AC8">
        <w:rPr>
          <w:rFonts w:ascii="標楷體" w:eastAsia="標楷體" w:hAnsi="標楷體"/>
          <w:sz w:val="26"/>
          <w:szCs w:val="26"/>
        </w:rPr>
        <w:t>D50</w:t>
      </w:r>
      <w:r w:rsidRPr="00DC5AC8">
        <w:rPr>
          <w:rFonts w:ascii="標楷體" w:eastAsia="標楷體" w:hAnsi="標楷體" w:hint="eastAsia"/>
          <w:sz w:val="26"/>
          <w:szCs w:val="26"/>
        </w:rPr>
        <w:t>，</w:t>
      </w:r>
      <w:r w:rsidRPr="00DC5AC8">
        <w:rPr>
          <w:rFonts w:ascii="標楷體" w:eastAsia="標楷體" w:hAnsi="標楷體"/>
          <w:sz w:val="26"/>
          <w:szCs w:val="26"/>
        </w:rPr>
        <w:t>A</w:t>
      </w:r>
      <w:r w:rsidRPr="00DC5AC8">
        <w:rPr>
          <w:rFonts w:ascii="標楷體" w:eastAsia="標楷體" w:hAnsi="標楷體" w:hint="eastAsia"/>
          <w:sz w:val="26"/>
          <w:szCs w:val="26"/>
        </w:rPr>
        <w:t>，</w:t>
      </w:r>
      <w:r w:rsidRPr="00DC5AC8">
        <w:rPr>
          <w:rFonts w:ascii="標楷體" w:eastAsia="標楷體" w:hAnsi="標楷體"/>
          <w:sz w:val="26"/>
          <w:szCs w:val="26"/>
        </w:rPr>
        <w:t>C</w:t>
      </w:r>
      <w:r w:rsidRPr="00DC5AC8">
        <w:rPr>
          <w:rFonts w:ascii="標楷體" w:eastAsia="標楷體" w:hAnsi="標楷體" w:hint="eastAsia"/>
          <w:sz w:val="26"/>
          <w:szCs w:val="26"/>
        </w:rPr>
        <w:t>，</w:t>
      </w:r>
      <w:r w:rsidRPr="00DC5AC8">
        <w:rPr>
          <w:rFonts w:ascii="標楷體" w:eastAsia="標楷體" w:hAnsi="標楷體"/>
          <w:sz w:val="26"/>
          <w:szCs w:val="26"/>
        </w:rPr>
        <w:t>F11</w:t>
      </w:r>
      <w:r>
        <w:rPr>
          <w:rFonts w:ascii="標楷體" w:eastAsia="標楷體" w:hAnsi="標楷體" w:hint="eastAsia"/>
          <w:sz w:val="26"/>
          <w:szCs w:val="26"/>
        </w:rPr>
        <w:t>。</w:t>
      </w:r>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觀測角標準：</w:t>
      </w:r>
      <w:r w:rsidRPr="00DC5AC8">
        <w:rPr>
          <w:rFonts w:ascii="標楷體" w:eastAsia="標楷體" w:hAnsi="標楷體"/>
          <w:sz w:val="26"/>
          <w:szCs w:val="26"/>
        </w:rPr>
        <w:t xml:space="preserve"> 2</w:t>
      </w:r>
      <w:r w:rsidRPr="00DC5AC8">
        <w:rPr>
          <w:rFonts w:ascii="標楷體" w:eastAsia="標楷體" w:hAnsi="標楷體" w:hint="eastAsia"/>
          <w:sz w:val="26"/>
          <w:szCs w:val="26"/>
        </w:rPr>
        <w:t>°</w:t>
      </w:r>
      <w:r w:rsidRPr="00DC5AC8">
        <w:rPr>
          <w:rFonts w:ascii="標楷體" w:eastAsia="標楷體" w:hAnsi="標楷體"/>
          <w:sz w:val="26"/>
          <w:szCs w:val="26"/>
        </w:rPr>
        <w:t xml:space="preserve">(1931) </w:t>
      </w:r>
      <w:r w:rsidRPr="00DC5AC8">
        <w:rPr>
          <w:rFonts w:ascii="標楷體" w:eastAsia="標楷體" w:hAnsi="標楷體" w:hint="eastAsia"/>
          <w:sz w:val="26"/>
          <w:szCs w:val="26"/>
        </w:rPr>
        <w:t>與</w:t>
      </w:r>
      <w:r w:rsidRPr="00DC5AC8">
        <w:rPr>
          <w:rFonts w:ascii="標楷體" w:eastAsia="標楷體" w:hAnsi="標楷體"/>
          <w:sz w:val="26"/>
          <w:szCs w:val="26"/>
        </w:rPr>
        <w:t xml:space="preserve"> 10</w:t>
      </w:r>
      <w:r w:rsidRPr="00DC5AC8">
        <w:rPr>
          <w:rFonts w:ascii="標楷體" w:eastAsia="標楷體" w:hAnsi="標楷體" w:hint="eastAsia"/>
          <w:sz w:val="26"/>
          <w:szCs w:val="26"/>
        </w:rPr>
        <w:t>°</w:t>
      </w:r>
      <w:r w:rsidRPr="00DC5AC8">
        <w:rPr>
          <w:rFonts w:ascii="標楷體" w:eastAsia="標楷體" w:hAnsi="標楷體"/>
          <w:sz w:val="26"/>
          <w:szCs w:val="26"/>
        </w:rPr>
        <w:t>(1964)</w:t>
      </w:r>
      <w:r>
        <w:rPr>
          <w:rFonts w:ascii="標楷體" w:eastAsia="標楷體" w:hAnsi="標楷體" w:hint="eastAsia"/>
          <w:sz w:val="26"/>
          <w:szCs w:val="26"/>
        </w:rPr>
        <w:t>。</w:t>
      </w:r>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可使用表色系：</w:t>
      </w:r>
      <w:r w:rsidRPr="00DC5AC8">
        <w:rPr>
          <w:rFonts w:ascii="標楷體" w:eastAsia="標楷體" w:hAnsi="標楷體"/>
          <w:sz w:val="26"/>
          <w:szCs w:val="26"/>
        </w:rPr>
        <w:t xml:space="preserve"> XYZ, Yxy, CIE L*a*b*, L*u*v*, L*C*h*, Hunter Lab</w:t>
      </w:r>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色差結果可顯示：Δ</w:t>
      </w:r>
      <w:r w:rsidRPr="00DC5AC8">
        <w:rPr>
          <w:rFonts w:ascii="標楷體" w:eastAsia="標楷體" w:hAnsi="標楷體"/>
          <w:sz w:val="26"/>
          <w:szCs w:val="26"/>
        </w:rPr>
        <w:t xml:space="preserve">E CIELab; </w:t>
      </w:r>
      <w:r w:rsidRPr="00DC5AC8">
        <w:rPr>
          <w:rFonts w:ascii="標楷體" w:eastAsia="標楷體" w:hAnsi="標楷體" w:hint="eastAsia"/>
          <w:sz w:val="26"/>
          <w:szCs w:val="26"/>
        </w:rPr>
        <w:t>Δ</w:t>
      </w:r>
      <w:r w:rsidRPr="00DC5AC8">
        <w:rPr>
          <w:rFonts w:ascii="標楷體" w:eastAsia="標楷體" w:hAnsi="標楷體"/>
          <w:sz w:val="26"/>
          <w:szCs w:val="26"/>
        </w:rPr>
        <w:t xml:space="preserve">L, </w:t>
      </w:r>
      <w:r w:rsidRPr="00DC5AC8">
        <w:rPr>
          <w:rFonts w:ascii="標楷體" w:eastAsia="標楷體" w:hAnsi="標楷體" w:hint="eastAsia"/>
          <w:sz w:val="26"/>
          <w:szCs w:val="26"/>
        </w:rPr>
        <w:t>Δ</w:t>
      </w:r>
      <w:r w:rsidRPr="00DC5AC8">
        <w:rPr>
          <w:rFonts w:ascii="標楷體" w:eastAsia="標楷體" w:hAnsi="標楷體"/>
          <w:sz w:val="26"/>
          <w:szCs w:val="26"/>
        </w:rPr>
        <w:t xml:space="preserve">a, </w:t>
      </w:r>
      <w:r w:rsidRPr="00DC5AC8">
        <w:rPr>
          <w:rFonts w:ascii="標楷體" w:eastAsia="標楷體" w:hAnsi="標楷體" w:hint="eastAsia"/>
          <w:sz w:val="26"/>
          <w:szCs w:val="26"/>
        </w:rPr>
        <w:t>Δ</w:t>
      </w:r>
      <w:r w:rsidRPr="00DC5AC8">
        <w:rPr>
          <w:rFonts w:ascii="標楷體" w:eastAsia="標楷體" w:hAnsi="標楷體"/>
          <w:sz w:val="26"/>
          <w:szCs w:val="26"/>
        </w:rPr>
        <w:t>b</w:t>
      </w:r>
      <w:r w:rsidRPr="00DC5AC8">
        <w:rPr>
          <w:rFonts w:ascii="標楷體" w:eastAsia="標楷體" w:hAnsi="標楷體" w:hint="eastAsia"/>
          <w:sz w:val="26"/>
          <w:szCs w:val="26"/>
        </w:rPr>
        <w:t>；Δ</w:t>
      </w:r>
      <w:r w:rsidRPr="00DC5AC8">
        <w:rPr>
          <w:rFonts w:ascii="標楷體" w:eastAsia="標楷體" w:hAnsi="標楷體"/>
          <w:sz w:val="26"/>
          <w:szCs w:val="26"/>
        </w:rPr>
        <w:t xml:space="preserve">L, </w:t>
      </w:r>
      <w:r w:rsidRPr="00DC5AC8">
        <w:rPr>
          <w:rFonts w:ascii="標楷體" w:eastAsia="標楷體" w:hAnsi="標楷體" w:hint="eastAsia"/>
          <w:sz w:val="26"/>
          <w:szCs w:val="26"/>
        </w:rPr>
        <w:t>Δ</w:t>
      </w:r>
      <w:r w:rsidRPr="00DC5AC8">
        <w:rPr>
          <w:rFonts w:ascii="標楷體" w:eastAsia="標楷體" w:hAnsi="標楷體"/>
          <w:sz w:val="26"/>
          <w:szCs w:val="26"/>
        </w:rPr>
        <w:t xml:space="preserve">u, </w:t>
      </w:r>
      <w:r w:rsidRPr="00DC5AC8">
        <w:rPr>
          <w:rFonts w:ascii="標楷體" w:eastAsia="標楷體" w:hAnsi="標楷體" w:hint="eastAsia"/>
          <w:sz w:val="26"/>
          <w:szCs w:val="26"/>
        </w:rPr>
        <w:t>Δ</w:t>
      </w:r>
      <w:r w:rsidRPr="00DC5AC8">
        <w:rPr>
          <w:rFonts w:ascii="標楷體" w:eastAsia="標楷體" w:hAnsi="標楷體"/>
          <w:sz w:val="26"/>
          <w:szCs w:val="26"/>
        </w:rPr>
        <w:t xml:space="preserve">v ; </w:t>
      </w:r>
      <w:r w:rsidRPr="00DC5AC8">
        <w:rPr>
          <w:rFonts w:ascii="標楷體" w:eastAsia="標楷體" w:hAnsi="標楷體" w:hint="eastAsia"/>
          <w:sz w:val="26"/>
          <w:szCs w:val="26"/>
        </w:rPr>
        <w:t>Δ</w:t>
      </w:r>
      <w:r w:rsidRPr="00DC5AC8">
        <w:rPr>
          <w:rFonts w:ascii="標楷體" w:eastAsia="標楷體" w:hAnsi="標楷體"/>
          <w:sz w:val="26"/>
          <w:szCs w:val="26"/>
        </w:rPr>
        <w:t xml:space="preserve">L, </w:t>
      </w:r>
      <w:r w:rsidRPr="00DC5AC8">
        <w:rPr>
          <w:rFonts w:ascii="標楷體" w:eastAsia="標楷體" w:hAnsi="標楷體" w:hint="eastAsia"/>
          <w:sz w:val="26"/>
          <w:szCs w:val="26"/>
        </w:rPr>
        <w:t>Δ</w:t>
      </w:r>
      <w:r w:rsidRPr="00DC5AC8">
        <w:rPr>
          <w:rFonts w:ascii="標楷體" w:eastAsia="標楷體" w:hAnsi="標楷體"/>
          <w:sz w:val="26"/>
          <w:szCs w:val="26"/>
        </w:rPr>
        <w:t xml:space="preserve">C, </w:t>
      </w:r>
      <w:r w:rsidRPr="00DC5AC8">
        <w:rPr>
          <w:rFonts w:ascii="標楷體" w:eastAsia="標楷體" w:hAnsi="標楷體" w:hint="eastAsia"/>
          <w:sz w:val="26"/>
          <w:szCs w:val="26"/>
        </w:rPr>
        <w:t>Δ</w:t>
      </w:r>
      <w:r w:rsidRPr="00DC5AC8">
        <w:rPr>
          <w:rFonts w:ascii="標楷體" w:eastAsia="標楷體" w:hAnsi="標楷體"/>
          <w:sz w:val="26"/>
          <w:szCs w:val="26"/>
        </w:rPr>
        <w:t>h</w:t>
      </w:r>
      <w:r w:rsidRPr="00DC5AC8">
        <w:rPr>
          <w:rFonts w:ascii="標楷體" w:eastAsia="標楷體" w:hAnsi="標楷體" w:hint="eastAsia"/>
          <w:sz w:val="26"/>
          <w:szCs w:val="26"/>
        </w:rPr>
        <w:t>；</w:t>
      </w:r>
      <w:r w:rsidRPr="00DC5AC8">
        <w:rPr>
          <w:rFonts w:ascii="標楷體" w:eastAsia="標楷體" w:hAnsi="標楷體"/>
          <w:sz w:val="26"/>
          <w:szCs w:val="26"/>
        </w:rPr>
        <w:t>Min/Max</w:t>
      </w:r>
      <w:r w:rsidRPr="00DC5AC8">
        <w:rPr>
          <w:rFonts w:ascii="標楷體" w:eastAsia="標楷體" w:hAnsi="標楷體" w:hint="eastAsia"/>
          <w:sz w:val="26"/>
          <w:szCs w:val="26"/>
        </w:rPr>
        <w:t>；</w:t>
      </w:r>
      <w:r w:rsidRPr="00DC5AC8">
        <w:rPr>
          <w:rFonts w:ascii="標楷體" w:eastAsia="標楷體" w:hAnsi="標楷體"/>
          <w:sz w:val="26"/>
          <w:szCs w:val="26"/>
        </w:rPr>
        <w:t xml:space="preserve"> Pass/Fail</w:t>
      </w:r>
      <w:r w:rsidRPr="00DC5AC8">
        <w:rPr>
          <w:rFonts w:ascii="標楷體" w:eastAsia="標楷體" w:hAnsi="標楷體" w:hint="eastAsia"/>
          <w:sz w:val="26"/>
          <w:szCs w:val="26"/>
        </w:rPr>
        <w:t>圖示</w:t>
      </w:r>
      <w:r>
        <w:rPr>
          <w:rFonts w:ascii="標楷體" w:eastAsia="標楷體" w:hAnsi="標楷體" w:hint="eastAsia"/>
          <w:sz w:val="26"/>
          <w:szCs w:val="26"/>
        </w:rPr>
        <w:t>。</w:t>
      </w:r>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光源：需為白光與藍光</w:t>
      </w:r>
      <w:r w:rsidRPr="00DC5AC8">
        <w:rPr>
          <w:rFonts w:ascii="標楷體" w:eastAsia="標楷體" w:hAnsi="標楷體"/>
          <w:sz w:val="26"/>
          <w:szCs w:val="26"/>
        </w:rPr>
        <w:t xml:space="preserve"> LED, </w:t>
      </w:r>
      <w:r w:rsidRPr="00DC5AC8">
        <w:rPr>
          <w:rFonts w:ascii="標楷體" w:eastAsia="標楷體" w:hAnsi="標楷體" w:hint="eastAsia"/>
          <w:sz w:val="26"/>
          <w:szCs w:val="26"/>
        </w:rPr>
        <w:t>光柵光譜儀，取樣間隔不可超過</w:t>
      </w:r>
      <w:r w:rsidRPr="00DC5AC8">
        <w:rPr>
          <w:rFonts w:ascii="標楷體" w:eastAsia="標楷體" w:hAnsi="標楷體"/>
          <w:sz w:val="26"/>
          <w:szCs w:val="26"/>
        </w:rPr>
        <w:t xml:space="preserve"> 3.5 nm</w:t>
      </w:r>
      <w:r w:rsidRPr="00DC5AC8">
        <w:rPr>
          <w:rFonts w:ascii="標楷體" w:eastAsia="標楷體" w:hAnsi="標楷體" w:hint="eastAsia"/>
          <w:sz w:val="26"/>
          <w:szCs w:val="26"/>
        </w:rPr>
        <w:t>，至少需可測到</w:t>
      </w:r>
      <w:r w:rsidRPr="00DC5AC8">
        <w:rPr>
          <w:rFonts w:ascii="標楷體" w:eastAsia="標楷體" w:hAnsi="標楷體"/>
          <w:sz w:val="26"/>
          <w:szCs w:val="26"/>
        </w:rPr>
        <w:t>85</w:t>
      </w:r>
      <w:r w:rsidRPr="00DC5AC8">
        <w:rPr>
          <w:rFonts w:ascii="標楷體" w:eastAsia="標楷體" w:hAnsi="標楷體" w:hint="eastAsia"/>
          <w:sz w:val="26"/>
          <w:szCs w:val="26"/>
        </w:rPr>
        <w:t>個波長量測點。</w:t>
      </w:r>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量測範圍：</w:t>
      </w:r>
      <w:r w:rsidRPr="00DC5AC8">
        <w:rPr>
          <w:rFonts w:ascii="標楷體" w:eastAsia="標楷體" w:hAnsi="標楷體"/>
          <w:sz w:val="26"/>
          <w:szCs w:val="26"/>
        </w:rPr>
        <w:tab/>
      </w:r>
      <w:r w:rsidRPr="00DC5AC8">
        <w:rPr>
          <w:rFonts w:ascii="標楷體" w:eastAsia="標楷體" w:hAnsi="標楷體" w:hint="eastAsia"/>
          <w:sz w:val="26"/>
          <w:szCs w:val="26"/>
        </w:rPr>
        <w:t>需小於直徑</w:t>
      </w:r>
      <w:smartTag w:uri="urn:schemas-microsoft-com:office:smarttags" w:element="chmetcnv">
        <w:smartTagPr>
          <w:attr w:name="TCSC" w:val="0"/>
          <w:attr w:name="NumberType" w:val="1"/>
          <w:attr w:name="Negative" w:val="False"/>
          <w:attr w:name="HasSpace" w:val="True"/>
          <w:attr w:name="SourceValue" w:val="3.5"/>
          <w:attr w:name="UnitName" w:val="mm"/>
        </w:smartTagPr>
        <w:r w:rsidRPr="00DC5AC8">
          <w:rPr>
            <w:rFonts w:ascii="標楷體" w:eastAsia="標楷體" w:hAnsi="標楷體"/>
            <w:sz w:val="26"/>
            <w:szCs w:val="26"/>
          </w:rPr>
          <w:t>3.5 mm</w:t>
        </w:r>
      </w:smartTag>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光譜波長範圍：</w:t>
      </w:r>
      <w:r w:rsidRPr="00DC5AC8">
        <w:rPr>
          <w:rFonts w:ascii="標楷體" w:eastAsia="標楷體" w:hAnsi="標楷體"/>
          <w:sz w:val="26"/>
          <w:szCs w:val="26"/>
        </w:rPr>
        <w:t xml:space="preserve">400nm </w:t>
      </w:r>
      <w:r w:rsidRPr="00DC5AC8">
        <w:rPr>
          <w:rFonts w:ascii="標楷體" w:eastAsia="標楷體" w:hAnsi="標楷體" w:hint="eastAsia"/>
          <w:sz w:val="26"/>
          <w:szCs w:val="26"/>
        </w:rPr>
        <w:t>至</w:t>
      </w:r>
      <w:r w:rsidRPr="00DC5AC8">
        <w:rPr>
          <w:rFonts w:ascii="標楷體" w:eastAsia="標楷體" w:hAnsi="標楷體"/>
          <w:sz w:val="26"/>
          <w:szCs w:val="26"/>
        </w:rPr>
        <w:t xml:space="preserve"> 700nm</w:t>
      </w:r>
      <w:r w:rsidRPr="00DC5AC8">
        <w:rPr>
          <w:rFonts w:ascii="標楷體" w:eastAsia="標楷體" w:hAnsi="標楷體" w:hint="eastAsia"/>
          <w:sz w:val="26"/>
          <w:szCs w:val="26"/>
        </w:rPr>
        <w:t>之間</w:t>
      </w:r>
      <w:r>
        <w:rPr>
          <w:rFonts w:ascii="標楷體" w:eastAsia="標楷體" w:hAnsi="標楷體" w:hint="eastAsia"/>
          <w:sz w:val="26"/>
          <w:szCs w:val="26"/>
        </w:rPr>
        <w:t>。</w:t>
      </w:r>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光譜解析度：內部至少</w:t>
      </w:r>
      <w:r w:rsidRPr="00DC5AC8">
        <w:rPr>
          <w:rFonts w:ascii="標楷體" w:eastAsia="標楷體" w:hAnsi="標楷體"/>
          <w:sz w:val="26"/>
          <w:szCs w:val="26"/>
        </w:rPr>
        <w:t xml:space="preserve"> 3.5nm;</w:t>
      </w:r>
      <w:r w:rsidRPr="00DC5AC8">
        <w:rPr>
          <w:rFonts w:ascii="標楷體" w:eastAsia="標楷體" w:hAnsi="標楷體" w:hint="eastAsia"/>
          <w:sz w:val="26"/>
          <w:szCs w:val="26"/>
        </w:rPr>
        <w:t>至少有</w:t>
      </w:r>
      <w:r w:rsidRPr="00DC5AC8">
        <w:rPr>
          <w:rFonts w:ascii="標楷體" w:eastAsia="標楷體" w:hAnsi="標楷體"/>
          <w:sz w:val="26"/>
          <w:szCs w:val="26"/>
        </w:rPr>
        <w:t>85</w:t>
      </w:r>
      <w:r w:rsidRPr="00DC5AC8">
        <w:rPr>
          <w:rFonts w:ascii="標楷體" w:eastAsia="標楷體" w:hAnsi="標楷體" w:hint="eastAsia"/>
          <w:sz w:val="26"/>
          <w:szCs w:val="26"/>
        </w:rPr>
        <w:t>個波長量測點</w:t>
      </w:r>
      <w:r>
        <w:rPr>
          <w:rFonts w:ascii="標楷體" w:eastAsia="標楷體" w:hAnsi="標楷體" w:hint="eastAsia"/>
          <w:sz w:val="26"/>
          <w:szCs w:val="26"/>
        </w:rPr>
        <w:t>。</w:t>
      </w:r>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再現性需求：Δ</w:t>
      </w:r>
      <w:r w:rsidRPr="00DC5AC8">
        <w:rPr>
          <w:rFonts w:ascii="標楷體" w:eastAsia="標楷體" w:hAnsi="標楷體"/>
          <w:sz w:val="26"/>
          <w:szCs w:val="26"/>
        </w:rPr>
        <w:t xml:space="preserve">E CIELab&lt; 0,05 </w:t>
      </w:r>
      <w:r>
        <w:rPr>
          <w:rFonts w:ascii="標楷體" w:eastAsia="標楷體" w:hAnsi="標楷體" w:hint="eastAsia"/>
          <w:sz w:val="26"/>
          <w:szCs w:val="26"/>
        </w:rPr>
        <w:t>。</w:t>
      </w:r>
    </w:p>
    <w:p w:rsidR="00BD083A" w:rsidRDefault="00BD083A" w:rsidP="00795F2D">
      <w:pPr>
        <w:numPr>
          <w:ilvl w:val="0"/>
          <w:numId w:val="2"/>
        </w:numPr>
        <w:tabs>
          <w:tab w:val="clear" w:pos="480"/>
          <w:tab w:val="num" w:pos="720"/>
        </w:tabs>
        <w:spacing w:line="460" w:lineRule="exact"/>
        <w:ind w:left="720" w:hanging="720"/>
        <w:rPr>
          <w:rFonts w:ascii="標楷體" w:eastAsia="標楷體" w:hAnsi="標楷體"/>
          <w:sz w:val="26"/>
          <w:szCs w:val="26"/>
        </w:rPr>
      </w:pPr>
      <w:r w:rsidRPr="00DC5AC8">
        <w:rPr>
          <w:rFonts w:ascii="標楷體" w:eastAsia="標楷體" w:hAnsi="標楷體" w:hint="eastAsia"/>
          <w:sz w:val="26"/>
          <w:szCs w:val="26"/>
        </w:rPr>
        <w:t>需內建傳輸介面</w:t>
      </w:r>
      <w:r w:rsidRPr="00DC5AC8">
        <w:rPr>
          <w:rFonts w:ascii="標楷體" w:eastAsia="標楷體" w:hAnsi="標楷體"/>
          <w:sz w:val="26"/>
          <w:szCs w:val="26"/>
        </w:rPr>
        <w:t>USB 2.0</w:t>
      </w:r>
      <w:r w:rsidRPr="00DC5AC8">
        <w:rPr>
          <w:rFonts w:ascii="標楷體" w:eastAsia="標楷體" w:hAnsi="標楷體" w:hint="eastAsia"/>
          <w:sz w:val="26"/>
          <w:szCs w:val="26"/>
        </w:rPr>
        <w:t>以將數據傳送至電腦</w:t>
      </w:r>
      <w:r>
        <w:rPr>
          <w:rFonts w:ascii="標楷體" w:eastAsia="標楷體" w:hAnsi="標楷體" w:hint="eastAsia"/>
          <w:sz w:val="26"/>
          <w:szCs w:val="26"/>
        </w:rPr>
        <w:t>。</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需內建電源供應，需為可拆卸可替換之充電鎳氫電池，可供野外採樣連續使用至少</w:t>
      </w:r>
      <w:r w:rsidRPr="00DC5AC8">
        <w:rPr>
          <w:rFonts w:ascii="標楷體" w:eastAsia="標楷體" w:hAnsi="標楷體"/>
          <w:sz w:val="26"/>
          <w:szCs w:val="26"/>
        </w:rPr>
        <w:t>15</w:t>
      </w:r>
      <w:r w:rsidRPr="00DC5AC8">
        <w:rPr>
          <w:rFonts w:ascii="標楷體" w:eastAsia="標楷體" w:hAnsi="標楷體" w:hint="eastAsia"/>
          <w:sz w:val="26"/>
          <w:szCs w:val="26"/>
        </w:rPr>
        <w:t>小時。</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需有內建記憶體，至少可儲存</w:t>
      </w:r>
      <w:r w:rsidRPr="00DC5AC8">
        <w:rPr>
          <w:rFonts w:ascii="標楷體" w:eastAsia="標楷體" w:hAnsi="標楷體"/>
          <w:sz w:val="26"/>
          <w:szCs w:val="26"/>
        </w:rPr>
        <w:t>1000</w:t>
      </w:r>
      <w:r w:rsidRPr="00DC5AC8">
        <w:rPr>
          <w:rFonts w:ascii="標楷體" w:eastAsia="標楷體" w:hAnsi="標楷體" w:hint="eastAsia"/>
          <w:sz w:val="26"/>
          <w:szCs w:val="26"/>
        </w:rPr>
        <w:t>個以上測量值、</w:t>
      </w:r>
      <w:r w:rsidRPr="00DC5AC8">
        <w:rPr>
          <w:rFonts w:ascii="標楷體" w:eastAsia="標楷體" w:hAnsi="標楷體"/>
          <w:sz w:val="26"/>
          <w:szCs w:val="26"/>
        </w:rPr>
        <w:t>300</w:t>
      </w:r>
      <w:r w:rsidRPr="00DC5AC8">
        <w:rPr>
          <w:rFonts w:ascii="標楷體" w:eastAsia="標楷體" w:hAnsi="標楷體" w:hint="eastAsia"/>
          <w:sz w:val="26"/>
          <w:szCs w:val="26"/>
        </w:rPr>
        <w:t>個以上帶有光譜的測量值與</w:t>
      </w:r>
      <w:r w:rsidRPr="00DC5AC8">
        <w:rPr>
          <w:rFonts w:ascii="標楷體" w:eastAsia="標楷體" w:hAnsi="標楷體"/>
          <w:sz w:val="26"/>
          <w:szCs w:val="26"/>
        </w:rPr>
        <w:t xml:space="preserve"> 1000 </w:t>
      </w:r>
      <w:r w:rsidRPr="00DC5AC8">
        <w:rPr>
          <w:rFonts w:ascii="標楷體" w:eastAsia="標楷體" w:hAnsi="標楷體" w:hint="eastAsia"/>
          <w:sz w:val="26"/>
          <w:szCs w:val="26"/>
        </w:rPr>
        <w:t>個以上之標準值</w:t>
      </w:r>
      <w:r>
        <w:rPr>
          <w:rFonts w:ascii="標楷體" w:eastAsia="標楷體" w:hAnsi="標楷體" w:hint="eastAsia"/>
          <w:sz w:val="26"/>
          <w:szCs w:val="26"/>
        </w:rPr>
        <w:t>。</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主機需有彩色</w:t>
      </w:r>
      <w:r w:rsidRPr="00DC5AC8">
        <w:rPr>
          <w:rFonts w:ascii="標楷體" w:eastAsia="標楷體" w:hAnsi="標楷體"/>
          <w:sz w:val="26"/>
          <w:szCs w:val="26"/>
        </w:rPr>
        <w:t>OLED</w:t>
      </w:r>
      <w:r w:rsidRPr="00DC5AC8">
        <w:rPr>
          <w:rFonts w:ascii="標楷體" w:eastAsia="標楷體" w:hAnsi="標楷體" w:hint="eastAsia"/>
          <w:sz w:val="26"/>
          <w:szCs w:val="26"/>
        </w:rPr>
        <w:t>顯示面板，可直接閱讀測量數值。</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需有可彎曲導線的外置光纖探頭，適合小尺寸的量測</w:t>
      </w:r>
      <w:r w:rsidRPr="00DC5AC8">
        <w:rPr>
          <w:rFonts w:ascii="標楷體" w:eastAsia="標楷體" w:hAnsi="標楷體"/>
          <w:sz w:val="26"/>
          <w:szCs w:val="26"/>
        </w:rPr>
        <w:t>(</w:t>
      </w:r>
      <w:r w:rsidRPr="00DC5AC8">
        <w:rPr>
          <w:rFonts w:ascii="標楷體" w:eastAsia="標楷體" w:hAnsi="標楷體" w:hint="eastAsia"/>
          <w:sz w:val="26"/>
          <w:szCs w:val="26"/>
        </w:rPr>
        <w:t>至少小於</w:t>
      </w:r>
      <w:r w:rsidRPr="00DC5AC8">
        <w:rPr>
          <w:rFonts w:ascii="標楷體" w:eastAsia="標楷體" w:hAnsi="標楷體"/>
          <w:sz w:val="26"/>
          <w:szCs w:val="26"/>
        </w:rPr>
        <w:t xml:space="preserve"> </w:t>
      </w:r>
      <w:smartTag w:uri="urn:schemas-microsoft-com:office:smarttags" w:element="chmetcnv">
        <w:smartTagPr>
          <w:attr w:name="TCSC" w:val="0"/>
          <w:attr w:name="NumberType" w:val="1"/>
          <w:attr w:name="Negative" w:val="False"/>
          <w:attr w:name="HasSpace" w:val="False"/>
          <w:attr w:name="SourceValue" w:val="4"/>
          <w:attr w:name="UnitName" w:val="g"/>
        </w:smartTagPr>
        <w:r w:rsidRPr="00DC5AC8">
          <w:rPr>
            <w:rFonts w:ascii="標楷體" w:eastAsia="標楷體" w:hAnsi="標楷體"/>
            <w:sz w:val="26"/>
            <w:szCs w:val="26"/>
          </w:rPr>
          <w:t>3.5 mm</w:t>
        </w:r>
      </w:smartTag>
      <w:r w:rsidRPr="00DC5AC8">
        <w:rPr>
          <w:rFonts w:ascii="標楷體" w:eastAsia="標楷體" w:hAnsi="標楷體"/>
          <w:sz w:val="26"/>
          <w:szCs w:val="26"/>
        </w:rPr>
        <w:t xml:space="preserve"> </w:t>
      </w:r>
      <w:r w:rsidRPr="00DC5AC8">
        <w:rPr>
          <w:rFonts w:ascii="標楷體" w:eastAsia="標楷體" w:hAnsi="標楷體" w:hint="eastAsia"/>
          <w:sz w:val="26"/>
          <w:szCs w:val="26"/>
        </w:rPr>
        <w:t>Ø</w:t>
      </w:r>
      <w:r w:rsidRPr="00DC5AC8">
        <w:rPr>
          <w:rFonts w:ascii="標楷體" w:eastAsia="標楷體" w:hAnsi="標楷體"/>
          <w:sz w:val="26"/>
          <w:szCs w:val="26"/>
        </w:rPr>
        <w:t xml:space="preserve">) </w:t>
      </w:r>
      <w:r w:rsidRPr="00DC5AC8">
        <w:rPr>
          <w:rFonts w:ascii="標楷體" w:eastAsia="標楷體" w:hAnsi="標楷體" w:hint="eastAsia"/>
          <w:sz w:val="26"/>
          <w:szCs w:val="26"/>
        </w:rPr>
        <w:t>，不需要其它工具即可進行曲面與小樣本的色差測量及靈敏高速的電子系統設計，至少</w:t>
      </w:r>
      <w:r w:rsidRPr="00DC5AC8">
        <w:rPr>
          <w:rFonts w:ascii="標楷體" w:eastAsia="標楷體" w:hAnsi="標楷體"/>
          <w:sz w:val="26"/>
          <w:szCs w:val="26"/>
        </w:rPr>
        <w:t>0.5</w:t>
      </w:r>
      <w:r w:rsidRPr="00DC5AC8">
        <w:rPr>
          <w:rFonts w:ascii="標楷體" w:eastAsia="標楷體" w:hAnsi="標楷體" w:hint="eastAsia"/>
          <w:sz w:val="26"/>
          <w:szCs w:val="26"/>
        </w:rPr>
        <w:t>秒鐘即可完成測量</w:t>
      </w:r>
      <w:r>
        <w:rPr>
          <w:rFonts w:ascii="標楷體" w:eastAsia="標楷體" w:hAnsi="標楷體" w:hint="eastAsia"/>
          <w:sz w:val="26"/>
          <w:szCs w:val="26"/>
        </w:rPr>
        <w:t>。</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主機與探頭端需具測量按鍵，可使用探頭上的彈簧開關來啟始量測，方便野外測量植栽或果實等樣本。</w:t>
      </w:r>
      <w:r w:rsidRPr="00DC5AC8">
        <w:rPr>
          <w:rFonts w:ascii="標楷體" w:eastAsia="標楷體" w:hAnsi="標楷體"/>
          <w:sz w:val="26"/>
          <w:szCs w:val="26"/>
        </w:rPr>
        <w:t xml:space="preserve"> </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需有待機自動休眠、關機功能，節省電力消耗。</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需內建可自動顯示平均後測量結果之系統，至少可設定至少</w:t>
      </w:r>
      <w:r w:rsidRPr="00DC5AC8">
        <w:rPr>
          <w:rFonts w:ascii="標楷體" w:eastAsia="標楷體" w:hAnsi="標楷體"/>
          <w:sz w:val="26"/>
          <w:szCs w:val="26"/>
        </w:rPr>
        <w:t>20</w:t>
      </w:r>
      <w:r w:rsidRPr="00DC5AC8">
        <w:rPr>
          <w:rFonts w:ascii="標楷體" w:eastAsia="標楷體" w:hAnsi="標楷體" w:hint="eastAsia"/>
          <w:sz w:val="26"/>
          <w:szCs w:val="26"/>
        </w:rPr>
        <w:t>筆多次取樣數值。</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需內建合格品判定圖示功能，可自行輸入Δ</w:t>
      </w:r>
      <w:r w:rsidRPr="00DC5AC8">
        <w:rPr>
          <w:rFonts w:ascii="標楷體" w:eastAsia="標楷體" w:hAnsi="標楷體"/>
          <w:sz w:val="26"/>
          <w:szCs w:val="26"/>
        </w:rPr>
        <w:t xml:space="preserve">L* </w:t>
      </w:r>
      <w:r w:rsidRPr="00DC5AC8">
        <w:rPr>
          <w:rFonts w:ascii="標楷體" w:eastAsia="標楷體" w:hAnsi="標楷體" w:hint="eastAsia"/>
          <w:sz w:val="26"/>
          <w:szCs w:val="26"/>
        </w:rPr>
        <w:t>Δ</w:t>
      </w:r>
      <w:r w:rsidRPr="00DC5AC8">
        <w:rPr>
          <w:rFonts w:ascii="標楷體" w:eastAsia="標楷體" w:hAnsi="標楷體"/>
          <w:sz w:val="26"/>
          <w:szCs w:val="26"/>
        </w:rPr>
        <w:t xml:space="preserve">a* </w:t>
      </w:r>
      <w:r w:rsidRPr="00DC5AC8">
        <w:rPr>
          <w:rFonts w:ascii="標楷體" w:eastAsia="標楷體" w:hAnsi="標楷體" w:hint="eastAsia"/>
          <w:sz w:val="26"/>
          <w:szCs w:val="26"/>
        </w:rPr>
        <w:t>Δ</w:t>
      </w:r>
      <w:r w:rsidRPr="00DC5AC8">
        <w:rPr>
          <w:rFonts w:ascii="標楷體" w:eastAsia="標楷體" w:hAnsi="標楷體"/>
          <w:sz w:val="26"/>
          <w:szCs w:val="26"/>
        </w:rPr>
        <w:t xml:space="preserve">b* </w:t>
      </w:r>
      <w:r w:rsidRPr="00DC5AC8">
        <w:rPr>
          <w:rFonts w:ascii="標楷體" w:eastAsia="標楷體" w:hAnsi="標楷體" w:hint="eastAsia"/>
          <w:sz w:val="26"/>
          <w:szCs w:val="26"/>
        </w:rPr>
        <w:t>或Δ</w:t>
      </w:r>
      <w:r w:rsidRPr="00DC5AC8">
        <w:rPr>
          <w:rFonts w:ascii="標楷體" w:eastAsia="標楷體" w:hAnsi="標楷體"/>
          <w:sz w:val="26"/>
          <w:szCs w:val="26"/>
        </w:rPr>
        <w:t>E</w:t>
      </w:r>
      <w:r w:rsidRPr="00DC5AC8">
        <w:rPr>
          <w:rFonts w:ascii="標楷體" w:eastAsia="標楷體" w:hAnsi="標楷體" w:hint="eastAsia"/>
          <w:sz w:val="26"/>
          <w:szCs w:val="26"/>
        </w:rPr>
        <w:t>上下限，在樣本測量完成後立即判定樣品合格與否</w:t>
      </w:r>
      <w:r w:rsidRPr="00DC5AC8">
        <w:rPr>
          <w:rFonts w:ascii="標楷體" w:eastAsia="標楷體" w:hAnsi="標楷體"/>
          <w:sz w:val="26"/>
          <w:szCs w:val="26"/>
        </w:rPr>
        <w:t>,</w:t>
      </w:r>
      <w:r w:rsidRPr="00DC5AC8">
        <w:rPr>
          <w:rFonts w:ascii="標楷體" w:eastAsia="標楷體" w:hAnsi="標楷體" w:hint="eastAsia"/>
          <w:sz w:val="26"/>
          <w:szCs w:val="26"/>
        </w:rPr>
        <w:t>需內建時鐘以同步紀錄每一筆數值的測量日期與時</w:t>
      </w:r>
      <w:bookmarkStart w:id="0" w:name="_GoBack"/>
      <w:bookmarkEnd w:id="0"/>
      <w:r w:rsidRPr="00DC5AC8">
        <w:rPr>
          <w:rFonts w:ascii="標楷體" w:eastAsia="標楷體" w:hAnsi="標楷體" w:hint="eastAsia"/>
          <w:sz w:val="26"/>
          <w:szCs w:val="26"/>
        </w:rPr>
        <w:t>間。</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附件：需附資料下載及處理主機一台，且具下列規格：內建</w:t>
      </w:r>
      <w:r w:rsidRPr="00DC5AC8">
        <w:rPr>
          <w:rFonts w:ascii="標楷體" w:eastAsia="標楷體" w:hAnsi="標楷體"/>
          <w:sz w:val="26"/>
          <w:szCs w:val="26"/>
        </w:rPr>
        <w:t>Windows 7</w:t>
      </w:r>
      <w:r w:rsidRPr="00DC5AC8">
        <w:rPr>
          <w:rFonts w:ascii="標楷體" w:eastAsia="標楷體" w:hAnsi="標楷體" w:hint="eastAsia"/>
          <w:sz w:val="26"/>
          <w:szCs w:val="26"/>
        </w:rPr>
        <w:t>作業系統；中央處理器為四核心</w:t>
      </w:r>
      <w:r w:rsidRPr="00DC5AC8">
        <w:rPr>
          <w:rFonts w:ascii="標楷體" w:eastAsia="標楷體" w:hAnsi="標楷體"/>
          <w:sz w:val="26"/>
          <w:szCs w:val="26"/>
        </w:rPr>
        <w:t xml:space="preserve">Intel Ivy Bridge </w:t>
      </w:r>
      <w:r w:rsidRPr="00DC5AC8">
        <w:rPr>
          <w:rFonts w:ascii="標楷體" w:eastAsia="標楷體" w:hAnsi="標楷體" w:hint="eastAsia"/>
          <w:sz w:val="26"/>
          <w:szCs w:val="26"/>
        </w:rPr>
        <w:t>第三代</w:t>
      </w:r>
      <w:r w:rsidRPr="00DC5AC8">
        <w:rPr>
          <w:rFonts w:ascii="標楷體" w:eastAsia="標楷體" w:hAnsi="標楷體"/>
          <w:sz w:val="26"/>
          <w:szCs w:val="26"/>
        </w:rPr>
        <w:t xml:space="preserve"> Core i5-3340</w:t>
      </w:r>
      <w:r w:rsidRPr="00DC5AC8">
        <w:rPr>
          <w:rFonts w:ascii="標楷體" w:eastAsia="標楷體" w:hAnsi="標楷體" w:hint="eastAsia"/>
          <w:sz w:val="26"/>
          <w:szCs w:val="26"/>
        </w:rPr>
        <w:t>以上等級，</w:t>
      </w:r>
      <w:smartTag w:uri="urn:schemas-microsoft-com:office:smarttags" w:element="chmetcnv">
        <w:smartTagPr>
          <w:attr w:name="TCSC" w:val="0"/>
          <w:attr w:name="NumberType" w:val="1"/>
          <w:attr w:name="Negative" w:val="False"/>
          <w:attr w:name="HasSpace" w:val="False"/>
          <w:attr w:name="SourceValue" w:val="4"/>
          <w:attr w:name="UnitName" w:val="g"/>
        </w:smartTagPr>
        <w:r w:rsidRPr="00DC5AC8">
          <w:rPr>
            <w:rFonts w:ascii="標楷體" w:eastAsia="標楷體" w:hAnsi="標楷體"/>
            <w:sz w:val="26"/>
            <w:szCs w:val="26"/>
          </w:rPr>
          <w:t>500G</w:t>
        </w:r>
      </w:smartTag>
      <w:r w:rsidRPr="00DC5AC8">
        <w:rPr>
          <w:rFonts w:ascii="標楷體" w:eastAsia="標楷體" w:hAnsi="標楷體"/>
          <w:sz w:val="26"/>
          <w:szCs w:val="26"/>
        </w:rPr>
        <w:t>B</w:t>
      </w:r>
      <w:r w:rsidRPr="00DC5AC8">
        <w:rPr>
          <w:rFonts w:ascii="標楷體" w:eastAsia="標楷體" w:hAnsi="標楷體" w:hint="eastAsia"/>
          <w:sz w:val="26"/>
          <w:szCs w:val="26"/>
        </w:rPr>
        <w:t>以上</w:t>
      </w:r>
      <w:r w:rsidRPr="00DC5AC8">
        <w:rPr>
          <w:rFonts w:ascii="標楷體" w:eastAsia="標楷體" w:hAnsi="標楷體"/>
          <w:sz w:val="26"/>
          <w:szCs w:val="26"/>
        </w:rPr>
        <w:t>SATA</w:t>
      </w:r>
      <w:r w:rsidRPr="00DC5AC8">
        <w:rPr>
          <w:rFonts w:ascii="標楷體" w:eastAsia="標楷體" w:hAnsi="標楷體" w:hint="eastAsia"/>
          <w:sz w:val="26"/>
          <w:szCs w:val="26"/>
        </w:rPr>
        <w:t>硬碟，</w:t>
      </w:r>
      <w:smartTag w:uri="urn:schemas-microsoft-com:office:smarttags" w:element="chmetcnv">
        <w:smartTagPr>
          <w:attr w:name="TCSC" w:val="0"/>
          <w:attr w:name="NumberType" w:val="1"/>
          <w:attr w:name="Negative" w:val="False"/>
          <w:attr w:name="HasSpace" w:val="False"/>
          <w:attr w:name="SourceValue" w:val="4"/>
          <w:attr w:name="UnitName" w:val="g"/>
        </w:smartTagPr>
        <w:r w:rsidRPr="00DC5AC8">
          <w:rPr>
            <w:rFonts w:ascii="標楷體" w:eastAsia="標楷體" w:hAnsi="標楷體"/>
            <w:sz w:val="26"/>
            <w:szCs w:val="26"/>
          </w:rPr>
          <w:t>4G</w:t>
        </w:r>
      </w:smartTag>
      <w:r w:rsidRPr="00DC5AC8">
        <w:rPr>
          <w:rFonts w:ascii="標楷體" w:eastAsia="標楷體" w:hAnsi="標楷體" w:hint="eastAsia"/>
          <w:sz w:val="26"/>
          <w:szCs w:val="26"/>
        </w:rPr>
        <w:t>以上記憶體，</w:t>
      </w:r>
      <w:r w:rsidRPr="00DC5AC8">
        <w:rPr>
          <w:rFonts w:ascii="標楷體" w:eastAsia="標楷體" w:hAnsi="標楷體"/>
          <w:sz w:val="26"/>
          <w:szCs w:val="26"/>
        </w:rPr>
        <w:t>DVD</w:t>
      </w:r>
      <w:r w:rsidRPr="00DC5AC8">
        <w:rPr>
          <w:rFonts w:ascii="標楷體" w:eastAsia="標楷體" w:hAnsi="標楷體" w:hint="eastAsia"/>
          <w:sz w:val="26"/>
          <w:szCs w:val="26"/>
        </w:rPr>
        <w:t>光碟燒錄機，具至少</w:t>
      </w:r>
      <w:r w:rsidRPr="00DC5AC8">
        <w:rPr>
          <w:rFonts w:ascii="標楷體" w:eastAsia="標楷體" w:hAnsi="標楷體"/>
          <w:sz w:val="26"/>
          <w:szCs w:val="26"/>
        </w:rPr>
        <w:t>5</w:t>
      </w:r>
      <w:r w:rsidRPr="00DC5AC8">
        <w:rPr>
          <w:rFonts w:ascii="標楷體" w:eastAsia="標楷體" w:hAnsi="標楷體" w:hint="eastAsia"/>
          <w:sz w:val="26"/>
          <w:szCs w:val="26"/>
        </w:rPr>
        <w:t>個以上</w:t>
      </w:r>
      <w:r w:rsidRPr="00DC5AC8">
        <w:rPr>
          <w:rFonts w:ascii="標楷體" w:eastAsia="標楷體" w:hAnsi="標楷體"/>
          <w:sz w:val="26"/>
          <w:szCs w:val="26"/>
        </w:rPr>
        <w:t>USB3.0</w:t>
      </w:r>
      <w:r w:rsidRPr="00DC5AC8">
        <w:rPr>
          <w:rFonts w:ascii="標楷體" w:eastAsia="標楷體" w:hAnsi="標楷體" w:hint="eastAsia"/>
          <w:sz w:val="26"/>
          <w:szCs w:val="26"/>
        </w:rPr>
        <w:t>或</w:t>
      </w:r>
      <w:r w:rsidRPr="00DC5AC8">
        <w:rPr>
          <w:rFonts w:ascii="標楷體" w:eastAsia="標楷體" w:hAnsi="標楷體"/>
          <w:sz w:val="26"/>
          <w:szCs w:val="26"/>
        </w:rPr>
        <w:t>2.0</w:t>
      </w:r>
      <w:r w:rsidRPr="00DC5AC8">
        <w:rPr>
          <w:rFonts w:ascii="標楷體" w:eastAsia="標楷體" w:hAnsi="標楷體" w:hint="eastAsia"/>
          <w:sz w:val="26"/>
          <w:szCs w:val="26"/>
        </w:rPr>
        <w:t>插槽，</w:t>
      </w:r>
      <w:r w:rsidRPr="00DC5AC8">
        <w:rPr>
          <w:rFonts w:ascii="標楷體" w:eastAsia="標楷體" w:hAnsi="標楷體"/>
          <w:sz w:val="26"/>
          <w:szCs w:val="26"/>
        </w:rPr>
        <w:t>2</w:t>
      </w:r>
      <w:r w:rsidRPr="00DC5AC8">
        <w:rPr>
          <w:rFonts w:ascii="標楷體" w:eastAsia="標楷體" w:hAnsi="標楷體" w:hint="eastAsia"/>
          <w:sz w:val="26"/>
          <w:szCs w:val="26"/>
        </w:rPr>
        <w:t>個</w:t>
      </w:r>
      <w:r w:rsidRPr="00DC5AC8">
        <w:rPr>
          <w:rFonts w:ascii="標楷體" w:eastAsia="標楷體" w:hAnsi="標楷體"/>
          <w:sz w:val="26"/>
          <w:szCs w:val="26"/>
        </w:rPr>
        <w:t>PS/2</w:t>
      </w:r>
      <w:r w:rsidRPr="00DC5AC8">
        <w:rPr>
          <w:rFonts w:ascii="標楷體" w:eastAsia="標楷體" w:hAnsi="標楷體" w:hint="eastAsia"/>
          <w:sz w:val="26"/>
          <w:szCs w:val="26"/>
        </w:rPr>
        <w:t>，具乙太網路控制器介面，至少</w:t>
      </w:r>
      <w:r w:rsidRPr="00DC5AC8">
        <w:rPr>
          <w:rFonts w:ascii="標楷體" w:eastAsia="標楷體" w:hAnsi="標楷體"/>
          <w:sz w:val="26"/>
          <w:szCs w:val="26"/>
        </w:rPr>
        <w:t>1</w:t>
      </w:r>
      <w:r w:rsidRPr="00DC5AC8">
        <w:rPr>
          <w:rFonts w:ascii="標楷體" w:eastAsia="標楷體" w:hAnsi="標楷體" w:hint="eastAsia"/>
          <w:sz w:val="26"/>
          <w:szCs w:val="26"/>
        </w:rPr>
        <w:t>個網路埠。</w:t>
      </w:r>
    </w:p>
    <w:p w:rsidR="00BD083A" w:rsidRDefault="00BD083A" w:rsidP="00795F2D">
      <w:pPr>
        <w:numPr>
          <w:ilvl w:val="0"/>
          <w:numId w:val="2"/>
        </w:numPr>
        <w:tabs>
          <w:tab w:val="clear" w:pos="480"/>
          <w:tab w:val="num" w:pos="900"/>
        </w:tabs>
        <w:spacing w:line="460" w:lineRule="exact"/>
        <w:ind w:left="900" w:hanging="900"/>
        <w:rPr>
          <w:rFonts w:ascii="標楷體" w:eastAsia="標楷體" w:hAnsi="標楷體"/>
          <w:sz w:val="26"/>
          <w:szCs w:val="26"/>
        </w:rPr>
      </w:pPr>
      <w:r w:rsidRPr="00DC5AC8">
        <w:rPr>
          <w:rFonts w:ascii="標楷體" w:eastAsia="標楷體" w:hAnsi="標楷體" w:hint="eastAsia"/>
          <w:sz w:val="26"/>
          <w:szCs w:val="26"/>
        </w:rPr>
        <w:t>未來可依需求擴充功能</w:t>
      </w:r>
      <w:r w:rsidRPr="00DC5AC8">
        <w:rPr>
          <w:rFonts w:ascii="標楷體" w:eastAsia="標楷體" w:hAnsi="標楷體"/>
          <w:sz w:val="26"/>
          <w:szCs w:val="26"/>
        </w:rPr>
        <w:t>:</w:t>
      </w:r>
      <w:r w:rsidRPr="00DC5AC8">
        <w:rPr>
          <w:rFonts w:ascii="標楷體" w:eastAsia="標楷體" w:hAnsi="標楷體" w:hint="eastAsia"/>
          <w:sz w:val="26"/>
          <w:szCs w:val="26"/>
        </w:rPr>
        <w:t>軟體可根據需求擴充升級為可作圖象顯示、趨勢、藍牙傳輸介面等分析系統，需可透過升級軟體進行儀器的操作與設定。</w:t>
      </w:r>
    </w:p>
    <w:p w:rsidR="00BD083A" w:rsidRDefault="00BD083A" w:rsidP="00795F2D">
      <w:pPr>
        <w:numPr>
          <w:ilvl w:val="0"/>
          <w:numId w:val="2"/>
        </w:numPr>
        <w:tabs>
          <w:tab w:val="clear" w:pos="480"/>
          <w:tab w:val="num" w:pos="1080"/>
          <w:tab w:val="left" w:pos="1260"/>
        </w:tabs>
        <w:spacing w:line="460" w:lineRule="exact"/>
        <w:ind w:left="1080" w:hanging="1080"/>
        <w:rPr>
          <w:rFonts w:ascii="標楷體" w:eastAsia="標楷體" w:hAnsi="標楷體"/>
          <w:sz w:val="26"/>
          <w:szCs w:val="26"/>
        </w:rPr>
      </w:pPr>
      <w:r w:rsidRPr="00DC5AC8">
        <w:rPr>
          <w:rFonts w:ascii="標楷體" w:eastAsia="標楷體" w:hAnsi="標楷體" w:hint="eastAsia"/>
          <w:sz w:val="26"/>
          <w:szCs w:val="26"/>
        </w:rPr>
        <w:t>可擴充多種探頭進行液體、粉體、非均質的粒狀物體、種子或其它小型圓柱型物體、可擴充特殊不銹鋼防水探頭適用於惡劣、潮濕的環境</w:t>
      </w:r>
      <w:r>
        <w:rPr>
          <w:rFonts w:ascii="標楷體" w:eastAsia="標楷體" w:hAnsi="標楷體" w:hint="eastAsia"/>
          <w:sz w:val="26"/>
          <w:szCs w:val="26"/>
        </w:rPr>
        <w:t>。</w:t>
      </w:r>
    </w:p>
    <w:p w:rsidR="00BD083A" w:rsidRPr="00933CA4" w:rsidRDefault="00BD083A" w:rsidP="00795F2D">
      <w:pPr>
        <w:numPr>
          <w:ilvl w:val="0"/>
          <w:numId w:val="2"/>
        </w:numPr>
        <w:tabs>
          <w:tab w:val="clear" w:pos="480"/>
          <w:tab w:val="num" w:pos="1080"/>
          <w:tab w:val="left" w:pos="1260"/>
        </w:tabs>
        <w:spacing w:line="460" w:lineRule="exact"/>
        <w:ind w:left="1080" w:hanging="1080"/>
        <w:rPr>
          <w:rFonts w:ascii="標楷體" w:eastAsia="標楷體" w:hAnsi="標楷體"/>
          <w:sz w:val="26"/>
          <w:szCs w:val="26"/>
        </w:rPr>
      </w:pPr>
      <w:r w:rsidRPr="00933CA4">
        <w:rPr>
          <w:rFonts w:ascii="標楷體" w:eastAsia="標楷體" w:hAnsi="標楷體" w:hint="eastAsia"/>
          <w:sz w:val="26"/>
          <w:szCs w:val="26"/>
        </w:rPr>
        <w:t>備註：</w:t>
      </w:r>
    </w:p>
    <w:p w:rsidR="00BD083A" w:rsidRPr="00933CA4" w:rsidRDefault="00BD083A" w:rsidP="00795F2D">
      <w:pPr>
        <w:numPr>
          <w:ilvl w:val="1"/>
          <w:numId w:val="2"/>
        </w:numPr>
        <w:tabs>
          <w:tab w:val="left" w:pos="1260"/>
          <w:tab w:val="num" w:pos="1440"/>
        </w:tabs>
        <w:spacing w:line="460" w:lineRule="exact"/>
        <w:rPr>
          <w:rFonts w:ascii="標楷體" w:eastAsia="標楷體" w:hAnsi="標楷體"/>
          <w:sz w:val="26"/>
          <w:szCs w:val="26"/>
        </w:rPr>
      </w:pPr>
      <w:r w:rsidRPr="00933CA4">
        <w:rPr>
          <w:rFonts w:eastAsia="標楷體" w:hAnsi="標楷體" w:hint="eastAsia"/>
          <w:sz w:val="26"/>
          <w:szCs w:val="26"/>
        </w:rPr>
        <w:t>投標時應檢附需求規範所列設備之型錄、說明書或證明文件</w:t>
      </w:r>
      <w:r w:rsidRPr="00933CA4">
        <w:rPr>
          <w:rFonts w:eastAsia="標楷體"/>
          <w:bCs/>
          <w:sz w:val="26"/>
          <w:szCs w:val="26"/>
        </w:rPr>
        <w:t>(</w:t>
      </w:r>
      <w:r w:rsidRPr="00933CA4">
        <w:rPr>
          <w:rFonts w:eastAsia="標楷體" w:hAnsi="標楷體" w:hint="eastAsia"/>
          <w:sz w:val="26"/>
          <w:szCs w:val="26"/>
        </w:rPr>
        <w:t>以中文為主，但特殊技術或材料之圖文資料得使用英文</w:t>
      </w:r>
      <w:r w:rsidRPr="00933CA4">
        <w:rPr>
          <w:rFonts w:eastAsia="標楷體"/>
          <w:sz w:val="26"/>
          <w:szCs w:val="26"/>
        </w:rPr>
        <w:t>)</w:t>
      </w:r>
      <w:r w:rsidRPr="00933CA4">
        <w:rPr>
          <w:rFonts w:eastAsia="標楷體" w:hAnsi="標楷體" w:hint="eastAsia"/>
          <w:sz w:val="26"/>
          <w:szCs w:val="26"/>
        </w:rPr>
        <w:t>，</w:t>
      </w:r>
      <w:r w:rsidRPr="00933CA4">
        <w:rPr>
          <w:rFonts w:eastAsia="標楷體" w:hAnsi="標楷體" w:hint="eastAsia"/>
          <w:b/>
          <w:sz w:val="26"/>
          <w:szCs w:val="26"/>
          <w:u w:val="single"/>
        </w:rPr>
        <w:t>不得將機關提供之規格作為投標廠商規格文件</w:t>
      </w:r>
      <w:r w:rsidRPr="00933CA4">
        <w:rPr>
          <w:rFonts w:eastAsia="標楷體" w:hAnsi="標楷體" w:hint="eastAsia"/>
          <w:sz w:val="26"/>
          <w:szCs w:val="26"/>
        </w:rPr>
        <w:t>（如於型錄或說明書未有需求規範所列項目之規格內容，可附自行繕打之規格文件並加蓋投標廠商章及負責人章方式佐證，惟應於驗收時能證明之），請以</w:t>
      </w:r>
      <w:r w:rsidRPr="00933CA4">
        <w:rPr>
          <w:rFonts w:eastAsia="標楷體" w:hAnsi="標楷體" w:hint="eastAsia"/>
          <w:b/>
          <w:sz w:val="26"/>
          <w:szCs w:val="26"/>
          <w:u w:val="single"/>
        </w:rPr>
        <w:t>螢光筆標示符合規格處</w:t>
      </w:r>
      <w:r w:rsidRPr="00933CA4">
        <w:rPr>
          <w:rFonts w:eastAsia="標楷體" w:hAnsi="標楷體" w:hint="eastAsia"/>
          <w:sz w:val="26"/>
          <w:szCs w:val="26"/>
        </w:rPr>
        <w:t>及</w:t>
      </w:r>
      <w:r w:rsidRPr="00933CA4">
        <w:rPr>
          <w:rFonts w:eastAsia="標楷體" w:hAnsi="標楷體" w:hint="eastAsia"/>
          <w:b/>
          <w:sz w:val="26"/>
          <w:szCs w:val="26"/>
          <w:u w:val="single"/>
        </w:rPr>
        <w:t>標示項次</w:t>
      </w:r>
      <w:r w:rsidRPr="00933CA4">
        <w:rPr>
          <w:rFonts w:eastAsia="標楷體" w:hAnsi="標楷體" w:hint="eastAsia"/>
          <w:sz w:val="26"/>
          <w:szCs w:val="26"/>
        </w:rPr>
        <w:t>，俾利審查。</w:t>
      </w:r>
    </w:p>
    <w:p w:rsidR="00BD083A" w:rsidRPr="00933CA4" w:rsidRDefault="00BD083A" w:rsidP="00795F2D">
      <w:pPr>
        <w:numPr>
          <w:ilvl w:val="1"/>
          <w:numId w:val="2"/>
        </w:numPr>
        <w:tabs>
          <w:tab w:val="left" w:pos="1260"/>
          <w:tab w:val="num" w:pos="1440"/>
        </w:tabs>
        <w:spacing w:line="460" w:lineRule="exact"/>
        <w:rPr>
          <w:rFonts w:ascii="標楷體" w:eastAsia="標楷體" w:hAnsi="標楷體"/>
          <w:sz w:val="26"/>
          <w:szCs w:val="26"/>
        </w:rPr>
      </w:pPr>
      <w:r w:rsidRPr="00933CA4">
        <w:rPr>
          <w:rFonts w:eastAsia="標楷體" w:hAnsi="標楷體" w:hint="eastAsia"/>
          <w:sz w:val="26"/>
          <w:szCs w:val="26"/>
        </w:rPr>
        <w:t>需安排人力陪同辦理驗收程序，並自交貨驗收合格日起負責保</w:t>
      </w:r>
      <w:r>
        <w:rPr>
          <w:rFonts w:eastAsia="標楷體" w:hAnsi="標楷體" w:hint="eastAsia"/>
          <w:sz w:val="26"/>
          <w:szCs w:val="26"/>
        </w:rPr>
        <w:t>固二</w:t>
      </w:r>
      <w:r w:rsidRPr="00933CA4">
        <w:rPr>
          <w:rFonts w:eastAsia="標楷體" w:hAnsi="標楷體" w:hint="eastAsia"/>
          <w:sz w:val="26"/>
          <w:szCs w:val="26"/>
        </w:rPr>
        <w:t>年，需檢附保固書。得標廠商在保固期間內，如非人為因素之損壞，應負責修護或零件更換，不含消耗品。</w:t>
      </w:r>
    </w:p>
    <w:p w:rsidR="00BD083A" w:rsidRPr="00933CA4" w:rsidRDefault="00BD083A" w:rsidP="00795F2D">
      <w:pPr>
        <w:numPr>
          <w:ilvl w:val="1"/>
          <w:numId w:val="2"/>
        </w:numPr>
        <w:tabs>
          <w:tab w:val="left" w:pos="1260"/>
          <w:tab w:val="num" w:pos="1440"/>
        </w:tabs>
        <w:spacing w:line="460" w:lineRule="exact"/>
        <w:rPr>
          <w:rFonts w:ascii="標楷體" w:eastAsia="標楷體" w:hAnsi="標楷體"/>
          <w:sz w:val="26"/>
          <w:szCs w:val="26"/>
        </w:rPr>
      </w:pPr>
      <w:r w:rsidRPr="00933CA4">
        <w:rPr>
          <w:rFonts w:eastAsia="標楷體" w:hAnsi="標楷體" w:hint="eastAsia"/>
          <w:sz w:val="26"/>
          <w:szCs w:val="26"/>
        </w:rPr>
        <w:t>得標廠商須免費派員至買方指定地點實施實際操作教育訓練，並提供中文操作手冊</w:t>
      </w:r>
      <w:r w:rsidRPr="00933CA4">
        <w:rPr>
          <w:rFonts w:eastAsia="標楷體"/>
          <w:sz w:val="26"/>
          <w:szCs w:val="26"/>
        </w:rPr>
        <w:t>1</w:t>
      </w:r>
      <w:r w:rsidRPr="00933CA4">
        <w:rPr>
          <w:rFonts w:eastAsia="標楷體" w:hAnsi="標楷體" w:hint="eastAsia"/>
          <w:sz w:val="26"/>
          <w:szCs w:val="26"/>
        </w:rPr>
        <w:t>份。</w:t>
      </w:r>
    </w:p>
    <w:p w:rsidR="00BD083A" w:rsidRPr="00933CA4" w:rsidRDefault="00BD083A" w:rsidP="00795F2D">
      <w:pPr>
        <w:numPr>
          <w:ilvl w:val="1"/>
          <w:numId w:val="2"/>
        </w:numPr>
        <w:tabs>
          <w:tab w:val="left" w:pos="1260"/>
          <w:tab w:val="num" w:pos="1440"/>
        </w:tabs>
        <w:spacing w:line="460" w:lineRule="exact"/>
        <w:rPr>
          <w:rFonts w:ascii="標楷體" w:eastAsia="標楷體" w:hAnsi="標楷體"/>
          <w:sz w:val="26"/>
          <w:szCs w:val="26"/>
        </w:rPr>
      </w:pPr>
      <w:r w:rsidRPr="00933CA4">
        <w:rPr>
          <w:rFonts w:eastAsia="標楷體" w:hAnsi="標楷體" w:hint="eastAsia"/>
          <w:sz w:val="26"/>
          <w:szCs w:val="26"/>
        </w:rPr>
        <w:t>得標廠商交貨時，</w:t>
      </w:r>
      <w:r w:rsidRPr="00933CA4">
        <w:rPr>
          <w:rFonts w:eastAsia="標楷體" w:hAnsi="標楷體" w:hint="eastAsia"/>
          <w:sz w:val="26"/>
          <w:szCs w:val="26"/>
          <w:u w:val="single"/>
        </w:rPr>
        <w:t>須檢附原廠出廠證明書為</w:t>
      </w:r>
      <w:r w:rsidRPr="00933CA4">
        <w:rPr>
          <w:rFonts w:eastAsia="標楷體"/>
          <w:sz w:val="26"/>
          <w:szCs w:val="26"/>
          <w:u w:val="single"/>
        </w:rPr>
        <w:t>2014</w:t>
      </w:r>
      <w:r w:rsidRPr="00933CA4">
        <w:rPr>
          <w:rFonts w:eastAsia="標楷體" w:hAnsi="標楷體" w:hint="eastAsia"/>
          <w:sz w:val="26"/>
          <w:szCs w:val="26"/>
          <w:u w:val="single"/>
        </w:rPr>
        <w:t>年</w:t>
      </w:r>
      <w:r w:rsidRPr="00933CA4">
        <w:rPr>
          <w:rFonts w:eastAsia="標楷體"/>
          <w:sz w:val="26"/>
          <w:szCs w:val="26"/>
          <w:u w:val="single"/>
        </w:rPr>
        <w:t>11</w:t>
      </w:r>
      <w:r w:rsidRPr="00933CA4">
        <w:rPr>
          <w:rFonts w:eastAsia="標楷體" w:hAnsi="標楷體" w:hint="eastAsia"/>
          <w:sz w:val="26"/>
          <w:szCs w:val="26"/>
          <w:u w:val="single"/>
        </w:rPr>
        <w:t>月以後</w:t>
      </w:r>
      <w:r w:rsidRPr="00933CA4">
        <w:rPr>
          <w:rFonts w:eastAsia="標楷體" w:hAnsi="標楷體" w:hint="eastAsia"/>
          <w:b/>
          <w:sz w:val="26"/>
          <w:szCs w:val="26"/>
          <w:u w:val="single"/>
        </w:rPr>
        <w:t>非大陸地區</w:t>
      </w:r>
      <w:r w:rsidRPr="00933CA4">
        <w:rPr>
          <w:rFonts w:eastAsia="標楷體" w:hAnsi="標楷體" w:hint="eastAsia"/>
          <w:sz w:val="26"/>
          <w:szCs w:val="26"/>
          <w:u w:val="single"/>
        </w:rPr>
        <w:t>之全新品，</w:t>
      </w:r>
      <w:r w:rsidRPr="00933CA4">
        <w:rPr>
          <w:rFonts w:eastAsia="標楷體" w:hAnsi="標楷體" w:hint="eastAsia"/>
          <w:sz w:val="26"/>
          <w:szCs w:val="26"/>
          <w:u w:val="single"/>
          <w:shd w:val="clear" w:color="auto" w:fill="FFFFFF"/>
        </w:rPr>
        <w:t>若為國外產品</w:t>
      </w:r>
      <w:r w:rsidRPr="00933CA4">
        <w:rPr>
          <w:rFonts w:eastAsia="標楷體" w:hAnsi="標楷體" w:hint="eastAsia"/>
          <w:sz w:val="26"/>
          <w:szCs w:val="26"/>
          <w:u w:val="single"/>
        </w:rPr>
        <w:t>須檢附海關進口證明以供驗收。</w:t>
      </w:r>
    </w:p>
    <w:p w:rsidR="00BD083A" w:rsidRPr="00933CA4" w:rsidRDefault="00BD083A" w:rsidP="00795F2D">
      <w:pPr>
        <w:numPr>
          <w:ilvl w:val="1"/>
          <w:numId w:val="2"/>
        </w:numPr>
        <w:tabs>
          <w:tab w:val="left" w:pos="1260"/>
          <w:tab w:val="num" w:pos="1440"/>
        </w:tabs>
        <w:spacing w:line="460" w:lineRule="exact"/>
        <w:rPr>
          <w:rFonts w:ascii="標楷體" w:eastAsia="標楷體" w:hAnsi="標楷體"/>
          <w:sz w:val="26"/>
          <w:szCs w:val="26"/>
        </w:rPr>
      </w:pPr>
      <w:r w:rsidRPr="00933CA4">
        <w:rPr>
          <w:rFonts w:eastAsia="標楷體" w:hAnsi="標楷體" w:hint="eastAsia"/>
          <w:sz w:val="26"/>
          <w:szCs w:val="26"/>
          <w:shd w:val="clear" w:color="auto" w:fill="FFFFFF"/>
        </w:rPr>
        <w:t>確認所交貨之物品為經過整體系統設計、測試及運作之商品化產品，以確保使用之穩定性及安全性。</w:t>
      </w:r>
    </w:p>
    <w:p w:rsidR="00BD083A" w:rsidRPr="00933CA4" w:rsidRDefault="00BD083A" w:rsidP="00795F2D">
      <w:pPr>
        <w:numPr>
          <w:ilvl w:val="1"/>
          <w:numId w:val="2"/>
        </w:numPr>
        <w:tabs>
          <w:tab w:val="left" w:pos="1260"/>
          <w:tab w:val="num" w:pos="1440"/>
        </w:tabs>
        <w:spacing w:line="460" w:lineRule="exact"/>
        <w:rPr>
          <w:rFonts w:ascii="標楷體" w:eastAsia="標楷體" w:hAnsi="標楷體"/>
          <w:sz w:val="26"/>
          <w:szCs w:val="26"/>
        </w:rPr>
      </w:pPr>
      <w:r w:rsidRPr="00933CA4">
        <w:rPr>
          <w:rFonts w:eastAsia="標楷體" w:hAnsi="標楷體" w:hint="eastAsia"/>
          <w:sz w:val="26"/>
          <w:szCs w:val="26"/>
          <w:shd w:val="clear" w:color="auto" w:fill="FFFFFF"/>
        </w:rPr>
        <w:t>相關文件資料如有假造，不予驗收，並依法追究相關責任。</w:t>
      </w:r>
    </w:p>
    <w:p w:rsidR="00BD083A" w:rsidRPr="00933CA4" w:rsidRDefault="00BD083A" w:rsidP="00795F2D">
      <w:pPr>
        <w:numPr>
          <w:ilvl w:val="1"/>
          <w:numId w:val="2"/>
        </w:numPr>
        <w:tabs>
          <w:tab w:val="num" w:pos="1440"/>
        </w:tabs>
        <w:spacing w:line="420" w:lineRule="exact"/>
        <w:jc w:val="both"/>
        <w:rPr>
          <w:rFonts w:eastAsia="標楷體"/>
          <w:sz w:val="26"/>
          <w:szCs w:val="26"/>
        </w:rPr>
      </w:pPr>
      <w:r w:rsidRPr="00933CA4">
        <w:rPr>
          <w:rFonts w:eastAsia="標楷體" w:hAnsi="標楷體" w:hint="eastAsia"/>
          <w:sz w:val="26"/>
          <w:szCs w:val="26"/>
        </w:rPr>
        <w:t>廠商應於決標日起</w:t>
      </w:r>
      <w:r w:rsidRPr="00933CA4">
        <w:rPr>
          <w:rFonts w:eastAsia="標楷體"/>
          <w:sz w:val="26"/>
          <w:szCs w:val="26"/>
        </w:rPr>
        <w:t>60</w:t>
      </w:r>
      <w:r w:rsidRPr="00933CA4">
        <w:rPr>
          <w:rFonts w:eastAsia="標楷體" w:hAnsi="標楷體" w:hint="eastAsia"/>
          <w:sz w:val="26"/>
          <w:szCs w:val="26"/>
        </w:rPr>
        <w:t>個日曆天內交貨完成。</w:t>
      </w:r>
    </w:p>
    <w:sectPr w:rsidR="00BD083A" w:rsidRPr="00933CA4" w:rsidSect="00DC5AC8">
      <w:pgSz w:w="11906" w:h="16838"/>
      <w:pgMar w:top="1440" w:right="1466"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83A" w:rsidRDefault="00BD083A" w:rsidP="00455BA5">
      <w:r>
        <w:separator/>
      </w:r>
    </w:p>
  </w:endnote>
  <w:endnote w:type="continuationSeparator" w:id="0">
    <w:p w:rsidR="00BD083A" w:rsidRDefault="00BD083A" w:rsidP="00455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FKaiShu-SB-Estd-BF">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83A" w:rsidRDefault="00BD083A" w:rsidP="00455BA5">
      <w:r>
        <w:separator/>
      </w:r>
    </w:p>
  </w:footnote>
  <w:footnote w:type="continuationSeparator" w:id="0">
    <w:p w:rsidR="00BD083A" w:rsidRDefault="00BD083A" w:rsidP="00455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864FC"/>
    <w:multiLevelType w:val="hybridMultilevel"/>
    <w:tmpl w:val="32A2EC9A"/>
    <w:lvl w:ilvl="0" w:tplc="0409000F">
      <w:start w:val="1"/>
      <w:numFmt w:val="decimal"/>
      <w:lvlText w:val="%1."/>
      <w:lvlJc w:val="left"/>
      <w:pPr>
        <w:ind w:left="480" w:hanging="480"/>
      </w:pPr>
      <w:rPr>
        <w:rFonts w:cs="Times New Roman"/>
      </w:rPr>
    </w:lvl>
    <w:lvl w:ilvl="1" w:tplc="EC5ABE3A">
      <w:start w:val="1"/>
      <w:numFmt w:val="decimal"/>
      <w:lvlText w:val="（%2）"/>
      <w:lvlJc w:val="left"/>
      <w:pPr>
        <w:ind w:left="960" w:hanging="480"/>
      </w:pPr>
      <w:rPr>
        <w:rFonts w:cs="Times New Roman" w:hint="eastAsia"/>
        <w:sz w:val="28"/>
        <w:szCs w:val="28"/>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5D0C6C30"/>
    <w:multiLevelType w:val="hybridMultilevel"/>
    <w:tmpl w:val="E54649AE"/>
    <w:lvl w:ilvl="0" w:tplc="489A9E02">
      <w:start w:val="1"/>
      <w:numFmt w:val="decimal"/>
      <w:lvlText w:val="%1."/>
      <w:lvlJc w:val="left"/>
      <w:pPr>
        <w:tabs>
          <w:tab w:val="num" w:pos="720"/>
        </w:tabs>
        <w:ind w:left="720" w:hanging="360"/>
      </w:pPr>
      <w:rPr>
        <w:rFonts w:cs="Times New Roman" w:hint="default"/>
        <w:b w:val="0"/>
      </w:rPr>
    </w:lvl>
    <w:lvl w:ilvl="1" w:tplc="0D28396A">
      <w:start w:val="1"/>
      <w:numFmt w:val="taiwaneseCountingThousand"/>
      <w:lvlText w:val="(%2)"/>
      <w:lvlJc w:val="left"/>
      <w:pPr>
        <w:tabs>
          <w:tab w:val="num" w:pos="1560"/>
        </w:tabs>
        <w:ind w:left="1560" w:hanging="720"/>
      </w:pPr>
      <w:rPr>
        <w:rFonts w:cs="DFKaiShu-SB-Estd-BF" w:hint="default"/>
        <w:b w:val="0"/>
        <w:color w:val="auto"/>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
    <w:nsid w:val="67C945B3"/>
    <w:multiLevelType w:val="hybridMultilevel"/>
    <w:tmpl w:val="B0E844AC"/>
    <w:lvl w:ilvl="0" w:tplc="04090015">
      <w:start w:val="1"/>
      <w:numFmt w:val="taiwaneseCountingThousand"/>
      <w:lvlText w:val="%1、"/>
      <w:lvlJc w:val="left"/>
      <w:pPr>
        <w:tabs>
          <w:tab w:val="num" w:pos="480"/>
        </w:tabs>
        <w:ind w:left="480" w:hanging="480"/>
      </w:pPr>
      <w:rPr>
        <w:rFonts w:cs="Times New Roman"/>
      </w:rPr>
    </w:lvl>
    <w:lvl w:ilvl="1" w:tplc="F1AC01CA">
      <w:start w:val="1"/>
      <w:numFmt w:val="taiwaneseCountingThousand"/>
      <w:lvlText w:val="(%2)"/>
      <w:lvlJc w:val="left"/>
      <w:pPr>
        <w:tabs>
          <w:tab w:val="num" w:pos="1200"/>
        </w:tabs>
        <w:ind w:left="1200" w:hanging="720"/>
      </w:pPr>
      <w:rPr>
        <w:rFonts w:cs="Times New Roman" w:hint="default"/>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854"/>
    <w:rsid w:val="00127FE3"/>
    <w:rsid w:val="001E3513"/>
    <w:rsid w:val="001F0605"/>
    <w:rsid w:val="00226101"/>
    <w:rsid w:val="00240B83"/>
    <w:rsid w:val="0032445F"/>
    <w:rsid w:val="003859AB"/>
    <w:rsid w:val="003E502A"/>
    <w:rsid w:val="0041014F"/>
    <w:rsid w:val="00455BA5"/>
    <w:rsid w:val="00475AFA"/>
    <w:rsid w:val="0052413D"/>
    <w:rsid w:val="005F476E"/>
    <w:rsid w:val="00664858"/>
    <w:rsid w:val="00667EDA"/>
    <w:rsid w:val="006A10DF"/>
    <w:rsid w:val="006B5A1D"/>
    <w:rsid w:val="006D40B4"/>
    <w:rsid w:val="006F191E"/>
    <w:rsid w:val="00794BC5"/>
    <w:rsid w:val="00795F2D"/>
    <w:rsid w:val="007C290C"/>
    <w:rsid w:val="007C789E"/>
    <w:rsid w:val="00850B21"/>
    <w:rsid w:val="008A6B01"/>
    <w:rsid w:val="008C2320"/>
    <w:rsid w:val="008C5968"/>
    <w:rsid w:val="008D28E1"/>
    <w:rsid w:val="008D644A"/>
    <w:rsid w:val="008F0AF5"/>
    <w:rsid w:val="00933CA4"/>
    <w:rsid w:val="009C2061"/>
    <w:rsid w:val="00A13854"/>
    <w:rsid w:val="00A661D5"/>
    <w:rsid w:val="00B07E63"/>
    <w:rsid w:val="00B76C51"/>
    <w:rsid w:val="00B87862"/>
    <w:rsid w:val="00BA32E5"/>
    <w:rsid w:val="00BD083A"/>
    <w:rsid w:val="00C510A8"/>
    <w:rsid w:val="00CC290B"/>
    <w:rsid w:val="00CD43FD"/>
    <w:rsid w:val="00D21D46"/>
    <w:rsid w:val="00D867B2"/>
    <w:rsid w:val="00D94F8B"/>
    <w:rsid w:val="00DA5571"/>
    <w:rsid w:val="00DC5AC8"/>
    <w:rsid w:val="00DD2A0B"/>
    <w:rsid w:val="00E343C6"/>
    <w:rsid w:val="00E815BC"/>
    <w:rsid w:val="00E87A05"/>
    <w:rsid w:val="00E93458"/>
    <w:rsid w:val="00EB38DD"/>
    <w:rsid w:val="00EB7F48"/>
    <w:rsid w:val="00F457D3"/>
    <w:rsid w:val="00FA6446"/>
    <w:rsid w:val="00FB75A7"/>
    <w:rsid w:val="00FE48B1"/>
    <w:rsid w:val="00FF38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02A"/>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3854"/>
    <w:pPr>
      <w:ind w:leftChars="200" w:left="480"/>
    </w:pPr>
  </w:style>
  <w:style w:type="paragraph" w:styleId="Header">
    <w:name w:val="header"/>
    <w:basedOn w:val="Normal"/>
    <w:link w:val="HeaderChar"/>
    <w:uiPriority w:val="99"/>
    <w:rsid w:val="00455BA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55BA5"/>
    <w:rPr>
      <w:rFonts w:cs="Times New Roman"/>
      <w:sz w:val="20"/>
      <w:szCs w:val="20"/>
    </w:rPr>
  </w:style>
  <w:style w:type="paragraph" w:styleId="Footer">
    <w:name w:val="footer"/>
    <w:basedOn w:val="Normal"/>
    <w:link w:val="FooterChar"/>
    <w:uiPriority w:val="99"/>
    <w:rsid w:val="00455BA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55BA5"/>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2</Pages>
  <Words>226</Words>
  <Characters>1290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2015-03-10T00:51:00Z</cp:lastPrinted>
  <dcterms:created xsi:type="dcterms:W3CDTF">2015-03-18T06:40:00Z</dcterms:created>
  <dcterms:modified xsi:type="dcterms:W3CDTF">2015-04-13T01:09:00Z</dcterms:modified>
</cp:coreProperties>
</file>